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47B894" w14:textId="18FE276D" w:rsidR="005164A2" w:rsidRPr="005164A2" w:rsidRDefault="00AA5D39" w:rsidP="00662949">
      <w:pPr>
        <w:pStyle w:val="z-title"/>
      </w:pPr>
      <w:r>
        <w:t xml:space="preserve">Assurance </w:t>
      </w:r>
      <w:r w:rsidR="00685C1D">
        <w:t>Management</w:t>
      </w:r>
      <w:r w:rsidR="00463877">
        <w:t xml:space="preserve"> Instructor’s Guide</w:t>
      </w:r>
    </w:p>
    <w:p w14:paraId="4347B895" w14:textId="77777777" w:rsidR="00F400DF" w:rsidRDefault="00F400DF" w:rsidP="009745E9">
      <w:pPr>
        <w:pStyle w:val="z-date"/>
        <w:spacing w:before="240"/>
      </w:pPr>
    </w:p>
    <w:p w14:paraId="4347B896" w14:textId="77777777" w:rsidR="008F1365" w:rsidRDefault="008F1365" w:rsidP="008F1365">
      <w:pPr>
        <w:pStyle w:val="z-report-type"/>
      </w:pPr>
    </w:p>
    <w:p w14:paraId="4347B897" w14:textId="77777777" w:rsidR="008F1365" w:rsidRDefault="008F1365" w:rsidP="008F1365">
      <w:pPr>
        <w:pStyle w:val="z-reportnumber--SEInumber"/>
      </w:pPr>
    </w:p>
    <w:p w14:paraId="4347B898" w14:textId="77777777" w:rsidR="008F1365" w:rsidRDefault="008F1365" w:rsidP="008F1365">
      <w:pPr>
        <w:pStyle w:val="z-reportnumber--ESCnumberifapplicable"/>
      </w:pPr>
    </w:p>
    <w:p w14:paraId="4347B899" w14:textId="77777777" w:rsidR="008F1365" w:rsidRDefault="008F1365" w:rsidP="009745E9">
      <w:pPr>
        <w:pStyle w:val="z-date"/>
        <w:spacing w:before="240"/>
      </w:pPr>
    </w:p>
    <w:p w14:paraId="4347B89A" w14:textId="77777777" w:rsidR="009745E9" w:rsidRPr="00054B5A" w:rsidRDefault="009745E9" w:rsidP="009745E9">
      <w:pPr>
        <w:pStyle w:val="z-date"/>
        <w:spacing w:before="240"/>
      </w:pPr>
    </w:p>
    <w:p w14:paraId="4347B89B" w14:textId="77777777" w:rsidR="009745E9" w:rsidRPr="00054B5A" w:rsidRDefault="00F400DF" w:rsidP="009745E9">
      <w:pPr>
        <w:pStyle w:val="z-report-type"/>
        <w:spacing w:before="400"/>
      </w:pPr>
      <w:r>
        <w:t>INSTRUCTOR MATERIALS</w:t>
      </w:r>
    </w:p>
    <w:p w14:paraId="4347B89C" w14:textId="5101D1C7" w:rsidR="009745E9" w:rsidRPr="00054B5A" w:rsidRDefault="009C3B11" w:rsidP="009745E9">
      <w:pPr>
        <w:pStyle w:val="z-reportnumber--SEInumber"/>
      </w:pPr>
      <w:r>
        <w:t>Assurance Management</w:t>
      </w:r>
    </w:p>
    <w:p w14:paraId="4347B89D" w14:textId="0484A7DE" w:rsidR="00A87005" w:rsidRDefault="00A87005" w:rsidP="00A87005">
      <w:pPr>
        <w:pStyle w:val="z-program-name"/>
        <w:spacing w:before="400"/>
      </w:pPr>
      <w:r>
        <w:t xml:space="preserve">CERT </w:t>
      </w:r>
      <w:r w:rsidR="00DA104A">
        <w:t xml:space="preserve">Division </w:t>
      </w:r>
    </w:p>
    <w:p w14:paraId="4347B89E" w14:textId="77777777" w:rsidR="00A87005" w:rsidRDefault="00EF1CF9" w:rsidP="00A87005">
      <w:pPr>
        <w:pStyle w:val="z-program-name"/>
        <w:spacing w:before="400"/>
      </w:pPr>
      <w:hyperlink r:id="rId12" w:history="1">
        <w:r w:rsidR="00A87005" w:rsidRPr="00186B30">
          <w:rPr>
            <w:rStyle w:val="Hyperlink"/>
          </w:rPr>
          <w:t>http://www.sei.cmu.edu</w:t>
        </w:r>
      </w:hyperlink>
    </w:p>
    <w:p w14:paraId="4347B89F" w14:textId="77777777" w:rsidR="00A87005" w:rsidRPr="00A87005" w:rsidRDefault="00A87005" w:rsidP="00A87005">
      <w:pPr>
        <w:pStyle w:val="z-distribution-statement"/>
        <w:rPr>
          <w:rStyle w:val="Hyperlink"/>
          <w:b/>
          <w:szCs w:val="18"/>
        </w:rPr>
      </w:pPr>
      <w:r w:rsidRPr="00A87005">
        <w:rPr>
          <w:rStyle w:val="Hyperlink"/>
          <w:b/>
          <w:szCs w:val="18"/>
        </w:rPr>
        <w:t>http://www.cert.org</w:t>
      </w:r>
    </w:p>
    <w:p w14:paraId="4347B8A0" w14:textId="77777777" w:rsidR="007D5AA6" w:rsidRDefault="007D5AA6" w:rsidP="007D5AA6">
      <w:pPr>
        <w:pStyle w:val="z-signature-page-text"/>
      </w:pPr>
    </w:p>
    <w:p w14:paraId="4347B8A1" w14:textId="77777777" w:rsidR="007D5AA6" w:rsidRPr="00BF6E52" w:rsidRDefault="007D5AA6" w:rsidP="007D5AA6">
      <w:pPr>
        <w:sectPr w:rsidR="007D5AA6" w:rsidRPr="00BF6E52" w:rsidSect="007B4AC4">
          <w:headerReference w:type="default" r:id="rId13"/>
          <w:footerReference w:type="default" r:id="rId14"/>
          <w:pgSz w:w="12240" w:h="15840" w:code="1"/>
          <w:pgMar w:top="1829" w:right="1800" w:bottom="1440" w:left="2160" w:header="1094" w:footer="677" w:gutter="0"/>
          <w:cols w:space="720"/>
          <w:docGrid w:linePitch="360"/>
        </w:sectPr>
      </w:pPr>
    </w:p>
    <w:p w14:paraId="44B9B3C6" w14:textId="77777777" w:rsidR="002F47E8" w:rsidRDefault="002F47E8" w:rsidP="002F47E8">
      <w:r>
        <w:rPr>
          <w:rFonts w:ascii="Times New Roman" w:hAnsi="Times New Roman"/>
          <w:sz w:val="20"/>
        </w:rPr>
        <w:lastRenderedPageBreak/>
        <w:t>Copyright 2014 Carnegie Mellon University</w:t>
      </w:r>
      <w:r>
        <w:rPr>
          <w:rFonts w:ascii="Times New Roman" w:hAnsi="Times New Roman"/>
          <w:sz w:val="20"/>
        </w:rPr>
        <w:br/>
      </w:r>
      <w:r>
        <w:rPr>
          <w:rFonts w:ascii="Times New Roman" w:hAnsi="Times New Roman"/>
          <w:sz w:val="20"/>
        </w:rPr>
        <w:br/>
        <w:t>This material has been approved for public release and unlimited distribution except as restricted b</w:t>
      </w:r>
      <w:r>
        <w:rPr>
          <w:rFonts w:ascii="Times New Roman" w:hAnsi="Times New Roman"/>
          <w:sz w:val="20"/>
        </w:rPr>
        <w:t>e</w:t>
      </w:r>
      <w:r>
        <w:rPr>
          <w:rFonts w:ascii="Times New Roman" w:hAnsi="Times New Roman"/>
          <w:sz w:val="20"/>
        </w:rPr>
        <w:t>low.</w:t>
      </w:r>
      <w:r>
        <w:rPr>
          <w:rFonts w:ascii="Times New Roman" w:hAnsi="Times New Roman"/>
          <w:sz w:val="20"/>
        </w:rPr>
        <w:br/>
      </w:r>
      <w:r>
        <w:rPr>
          <w:rFonts w:ascii="Times New Roman" w:hAnsi="Times New Roman"/>
          <w:sz w:val="20"/>
        </w:rPr>
        <w:br/>
        <w:t>This material is based upon work funded and supported by Department of Homeland Security under Contract No. FA8721-05-C-0003 with Carnegie Mellon University for the operation of the Software Engineering Institute, a federally funded research and development center sponsored by the United States Department of Defense.</w:t>
      </w:r>
      <w:r>
        <w:rPr>
          <w:rFonts w:ascii="Times New Roman" w:hAnsi="Times New Roman"/>
          <w:sz w:val="20"/>
        </w:rPr>
        <w:br/>
      </w:r>
      <w:r>
        <w:rPr>
          <w:rFonts w:ascii="Times New Roman" w:hAnsi="Times New Roman"/>
          <w:sz w:val="20"/>
        </w:rPr>
        <w:br/>
        <w:t>References herein to any specific commercial product, process, or service by trade name, trade mark, manufacturer, or otherwise, does not necessarily constitute or imply its endorsement, recommendation, or favoring by Carnegie Mellon University or its Software Engineering Institute.</w:t>
      </w:r>
      <w:r>
        <w:rPr>
          <w:rFonts w:ascii="Times New Roman" w:hAnsi="Times New Roman"/>
          <w:sz w:val="20"/>
        </w:rPr>
        <w:br/>
      </w:r>
      <w:r>
        <w:rPr>
          <w:rFonts w:ascii="Times New Roman" w:hAnsi="Times New Roman"/>
          <w:sz w:val="20"/>
        </w:rPr>
        <w:br/>
        <w:t>NO WARRANTY. THIS CARNEGIE MELLON UNIVERSITY AND SOFTWARE ENGINEERING INSTITUTE MATERIAL IS FURNISHED ON AN “AS-IS” BASIS. CARNEGIE MELLON UNIVERSITY MAKES NO WARRANTIES OF ANY KIND, EITHER EXPRESSED OR IMPLIED, AS TO ANY MATTER INCLUDING, BUT NOT LIMITED TO, WARRANTY OF FITNESS FOR PURPOSE OR MERCHANTABILITY, EXCLUSIVITY, OR RESULTS OBTAINED FROM USE OF THE MATERIAL. CARNEGIE MELLON UNIVERSITY DOES NOT MAKE ANY WARRANTY OF ANY KIND WITH RESPECT TO FREEDOM FROM PATENT, TRADEMARK, OR COPYRIGHT INFRINGEMENT.</w:t>
      </w:r>
      <w:r>
        <w:rPr>
          <w:rFonts w:ascii="Times New Roman" w:hAnsi="Times New Roman"/>
          <w:sz w:val="20"/>
        </w:rPr>
        <w:br/>
      </w:r>
      <w:r>
        <w:rPr>
          <w:rFonts w:ascii="Times New Roman" w:hAnsi="Times New Roman"/>
          <w:sz w:val="20"/>
        </w:rPr>
        <w:br/>
        <w:t>This material is distributed by the Software Engineering Institute (SEI) only to course attendees for their own individual study. Except for the U.S. government purposes described below, this material SHALL NOT be reproduced or used in any other manner without requesting formal permission from the Software Engineering Institute at permission@sei.cmu.edu.</w:t>
      </w:r>
      <w:r>
        <w:rPr>
          <w:rFonts w:ascii="Times New Roman" w:hAnsi="Times New Roman"/>
          <w:sz w:val="20"/>
        </w:rPr>
        <w:br/>
      </w:r>
      <w:r>
        <w:rPr>
          <w:rFonts w:ascii="Times New Roman" w:hAnsi="Times New Roman"/>
          <w:sz w:val="20"/>
        </w:rPr>
        <w:br/>
        <w:t>The U.S. Government's rights to use, modify, reproduce, release, perform, display, or disclose this m</w:t>
      </w:r>
      <w:r>
        <w:rPr>
          <w:rFonts w:ascii="Times New Roman" w:hAnsi="Times New Roman"/>
          <w:sz w:val="20"/>
        </w:rPr>
        <w:t>a</w:t>
      </w:r>
      <w:r>
        <w:rPr>
          <w:rFonts w:ascii="Times New Roman" w:hAnsi="Times New Roman"/>
          <w:sz w:val="20"/>
        </w:rPr>
        <w:t>terial are restricted by the Rights in Technical Data-Noncommercial Items clauses (DFAR 252-227.7013 and DFAR 252-227.7013 Alternate I) contained in the above identified contract. Any repr</w:t>
      </w:r>
      <w:r>
        <w:rPr>
          <w:rFonts w:ascii="Times New Roman" w:hAnsi="Times New Roman"/>
          <w:sz w:val="20"/>
        </w:rPr>
        <w:t>o</w:t>
      </w:r>
      <w:r>
        <w:rPr>
          <w:rFonts w:ascii="Times New Roman" w:hAnsi="Times New Roman"/>
          <w:sz w:val="20"/>
        </w:rPr>
        <w:t>duction of this material or portions thereof marked with this legend must also reproduce the disclai</w:t>
      </w:r>
      <w:r>
        <w:rPr>
          <w:rFonts w:ascii="Times New Roman" w:hAnsi="Times New Roman"/>
          <w:sz w:val="20"/>
        </w:rPr>
        <w:t>m</w:t>
      </w:r>
      <w:r>
        <w:rPr>
          <w:rFonts w:ascii="Times New Roman" w:hAnsi="Times New Roman"/>
          <w:sz w:val="20"/>
        </w:rPr>
        <w:t>ers contained on this slide.</w:t>
      </w:r>
      <w:r>
        <w:rPr>
          <w:rFonts w:ascii="Times New Roman" w:hAnsi="Times New Roman"/>
          <w:sz w:val="20"/>
        </w:rPr>
        <w:br/>
      </w:r>
      <w:r>
        <w:rPr>
          <w:rFonts w:ascii="Times New Roman" w:hAnsi="Times New Roman"/>
          <w:sz w:val="20"/>
        </w:rPr>
        <w:br/>
        <w:t>Although the rights granted by contract do not require course attendance to use this material for U.S. Government purposes, the SEI recommends attendance to ensure proper understanding.</w:t>
      </w:r>
      <w:r>
        <w:rPr>
          <w:rFonts w:ascii="Times New Roman" w:hAnsi="Times New Roman"/>
          <w:sz w:val="20"/>
        </w:rPr>
        <w:br/>
      </w:r>
      <w:r>
        <w:rPr>
          <w:rFonts w:ascii="Times New Roman" w:hAnsi="Times New Roman"/>
          <w:sz w:val="20"/>
        </w:rPr>
        <w:br/>
        <w:t>CERT</w:t>
      </w:r>
      <w:r>
        <w:rPr>
          <w:rFonts w:ascii="Times New Roman" w:hAnsi="Times New Roman"/>
          <w:sz w:val="20"/>
          <w:vertAlign w:val="superscript"/>
        </w:rPr>
        <w:t>®</w:t>
      </w:r>
      <w:r>
        <w:rPr>
          <w:rFonts w:ascii="Times New Roman" w:hAnsi="Times New Roman"/>
          <w:sz w:val="20"/>
        </w:rPr>
        <w:t> is a registered mark of Carnegie Mellon University.</w:t>
      </w:r>
      <w:r>
        <w:rPr>
          <w:rFonts w:ascii="Times New Roman" w:hAnsi="Times New Roman"/>
          <w:sz w:val="20"/>
        </w:rPr>
        <w:br/>
      </w:r>
      <w:r>
        <w:rPr>
          <w:rFonts w:ascii="Times New Roman" w:hAnsi="Times New Roman"/>
          <w:sz w:val="20"/>
        </w:rPr>
        <w:br/>
        <w:t>DM-0001287</w:t>
      </w:r>
      <w:r>
        <w:rPr>
          <w:rFonts w:ascii="Times New Roman" w:hAnsi="Times New Roman"/>
          <w:sz w:val="20"/>
        </w:rPr>
        <w:br/>
      </w:r>
    </w:p>
    <w:p w14:paraId="4347B8A4" w14:textId="77777777" w:rsidR="00185985" w:rsidRDefault="00185985" w:rsidP="00185985"/>
    <w:p w14:paraId="4347B8A5" w14:textId="77777777" w:rsidR="00E96189" w:rsidRPr="00185985" w:rsidRDefault="00E96189" w:rsidP="00185985">
      <w:pPr>
        <w:sectPr w:rsidR="00E96189" w:rsidRPr="00185985" w:rsidSect="007B4AC4">
          <w:headerReference w:type="default" r:id="rId15"/>
          <w:footerReference w:type="even" r:id="rId16"/>
          <w:footerReference w:type="default" r:id="rId17"/>
          <w:pgSz w:w="12240" w:h="15840" w:code="1"/>
          <w:pgMar w:top="1296" w:right="1800" w:bottom="1440" w:left="2160" w:header="720" w:footer="1008" w:gutter="0"/>
          <w:pgNumType w:fmt="lowerRoman"/>
          <w:cols w:space="720"/>
        </w:sectPr>
      </w:pPr>
    </w:p>
    <w:p w14:paraId="4347B8A6" w14:textId="77777777" w:rsidR="00DF224A" w:rsidRDefault="00DF224A" w:rsidP="007D5AA6">
      <w:pPr>
        <w:pStyle w:val="Heading1frontmatteronly"/>
      </w:pPr>
      <w:r>
        <w:lastRenderedPageBreak/>
        <w:t>Table of Contents</w:t>
      </w:r>
    </w:p>
    <w:p w14:paraId="31E08C4D" w14:textId="77777777" w:rsidR="00EF1CF9" w:rsidRDefault="00641A20">
      <w:pPr>
        <w:pStyle w:val="TOC2"/>
        <w:rPr>
          <w:rFonts w:asciiTheme="minorHAnsi" w:eastAsiaTheme="minorEastAsia" w:hAnsiTheme="minorHAnsi" w:cstheme="minorBidi"/>
          <w:b w:val="0"/>
          <w:kern w:val="0"/>
          <w:sz w:val="22"/>
          <w:szCs w:val="22"/>
        </w:rPr>
      </w:pPr>
      <w:r>
        <w:fldChar w:fldCharType="begin"/>
      </w:r>
      <w:r w:rsidR="00DF224A">
        <w:instrText xml:space="preserve"> TOC \h \z \t "Heading 1,1,Heading 2,4,Heading 3,5,Heading 1- nonum,2,Heading 1 - Appendix,3" </w:instrText>
      </w:r>
      <w:r>
        <w:fldChar w:fldCharType="separate"/>
      </w:r>
      <w:hyperlink w:anchor="_Toc388442941" w:history="1">
        <w:r w:rsidR="00EF1CF9" w:rsidRPr="00141770">
          <w:rPr>
            <w:rStyle w:val="Hyperlink"/>
          </w:rPr>
          <w:t>Overview</w:t>
        </w:r>
        <w:r w:rsidR="00EF1CF9">
          <w:rPr>
            <w:webHidden/>
          </w:rPr>
          <w:tab/>
        </w:r>
        <w:r w:rsidR="00EF1CF9">
          <w:rPr>
            <w:webHidden/>
          </w:rPr>
          <w:fldChar w:fldCharType="begin"/>
        </w:r>
        <w:r w:rsidR="00EF1CF9">
          <w:rPr>
            <w:webHidden/>
          </w:rPr>
          <w:instrText xml:space="preserve"> PAGEREF _Toc388442941 \h </w:instrText>
        </w:r>
        <w:r w:rsidR="00EF1CF9">
          <w:rPr>
            <w:webHidden/>
          </w:rPr>
        </w:r>
        <w:r w:rsidR="00EF1CF9">
          <w:rPr>
            <w:webHidden/>
          </w:rPr>
          <w:fldChar w:fldCharType="separate"/>
        </w:r>
        <w:r w:rsidR="00EF1CF9">
          <w:rPr>
            <w:webHidden/>
          </w:rPr>
          <w:t>5</w:t>
        </w:r>
        <w:r w:rsidR="00EF1CF9">
          <w:rPr>
            <w:webHidden/>
          </w:rPr>
          <w:fldChar w:fldCharType="end"/>
        </w:r>
      </w:hyperlink>
    </w:p>
    <w:p w14:paraId="0E732C1C" w14:textId="77777777" w:rsidR="00EF1CF9" w:rsidRDefault="00EF1CF9">
      <w:pPr>
        <w:pStyle w:val="TOC2"/>
        <w:rPr>
          <w:rFonts w:asciiTheme="minorHAnsi" w:eastAsiaTheme="minorEastAsia" w:hAnsiTheme="minorHAnsi" w:cstheme="minorBidi"/>
          <w:b w:val="0"/>
          <w:kern w:val="0"/>
          <w:sz w:val="22"/>
          <w:szCs w:val="22"/>
        </w:rPr>
      </w:pPr>
      <w:hyperlink w:anchor="_Toc388442942" w:history="1">
        <w:r w:rsidRPr="00141770">
          <w:rPr>
            <w:rStyle w:val="Hyperlink"/>
          </w:rPr>
          <w:t>Project and Exercises</w:t>
        </w:r>
        <w:r>
          <w:rPr>
            <w:webHidden/>
          </w:rPr>
          <w:tab/>
        </w:r>
        <w:r>
          <w:rPr>
            <w:webHidden/>
          </w:rPr>
          <w:fldChar w:fldCharType="begin"/>
        </w:r>
        <w:r>
          <w:rPr>
            <w:webHidden/>
          </w:rPr>
          <w:instrText xml:space="preserve"> PAGEREF _Toc388442942 \h </w:instrText>
        </w:r>
        <w:r>
          <w:rPr>
            <w:webHidden/>
          </w:rPr>
        </w:r>
        <w:r>
          <w:rPr>
            <w:webHidden/>
          </w:rPr>
          <w:fldChar w:fldCharType="separate"/>
        </w:r>
        <w:r>
          <w:rPr>
            <w:webHidden/>
          </w:rPr>
          <w:t>8</w:t>
        </w:r>
        <w:r>
          <w:rPr>
            <w:webHidden/>
          </w:rPr>
          <w:fldChar w:fldCharType="end"/>
        </w:r>
      </w:hyperlink>
    </w:p>
    <w:p w14:paraId="736FE23F" w14:textId="77777777" w:rsidR="00EF1CF9" w:rsidRDefault="00EF1CF9">
      <w:pPr>
        <w:pStyle w:val="TOC2"/>
        <w:rPr>
          <w:rFonts w:asciiTheme="minorHAnsi" w:eastAsiaTheme="minorEastAsia" w:hAnsiTheme="minorHAnsi" w:cstheme="minorBidi"/>
          <w:b w:val="0"/>
          <w:kern w:val="0"/>
          <w:sz w:val="22"/>
          <w:szCs w:val="22"/>
        </w:rPr>
      </w:pPr>
      <w:hyperlink w:anchor="_Toc388442943" w:history="1">
        <w:r w:rsidRPr="00141770">
          <w:rPr>
            <w:rStyle w:val="Hyperlink"/>
          </w:rPr>
          <w:t>Schedule</w:t>
        </w:r>
        <w:r>
          <w:rPr>
            <w:webHidden/>
          </w:rPr>
          <w:tab/>
        </w:r>
        <w:r>
          <w:rPr>
            <w:webHidden/>
          </w:rPr>
          <w:fldChar w:fldCharType="begin"/>
        </w:r>
        <w:r>
          <w:rPr>
            <w:webHidden/>
          </w:rPr>
          <w:instrText xml:space="preserve"> PAGEREF _Toc388442943 \h </w:instrText>
        </w:r>
        <w:r>
          <w:rPr>
            <w:webHidden/>
          </w:rPr>
        </w:r>
        <w:r>
          <w:rPr>
            <w:webHidden/>
          </w:rPr>
          <w:fldChar w:fldCharType="separate"/>
        </w:r>
        <w:r>
          <w:rPr>
            <w:webHidden/>
          </w:rPr>
          <w:t>9</w:t>
        </w:r>
        <w:r>
          <w:rPr>
            <w:webHidden/>
          </w:rPr>
          <w:fldChar w:fldCharType="end"/>
        </w:r>
      </w:hyperlink>
    </w:p>
    <w:p w14:paraId="26476DF2" w14:textId="77777777" w:rsidR="00EF1CF9" w:rsidRDefault="00EF1CF9">
      <w:pPr>
        <w:pStyle w:val="TOC1"/>
        <w:rPr>
          <w:rFonts w:asciiTheme="minorHAnsi" w:eastAsiaTheme="minorEastAsia" w:hAnsiTheme="minorHAnsi" w:cstheme="minorBidi"/>
          <w:b w:val="0"/>
          <w:kern w:val="0"/>
          <w:sz w:val="22"/>
          <w:szCs w:val="22"/>
        </w:rPr>
      </w:pPr>
      <w:hyperlink w:anchor="_Toc388442944" w:history="1">
        <w:r w:rsidRPr="00141770">
          <w:rPr>
            <w:rStyle w:val="Hyperlink"/>
          </w:rPr>
          <w:t>1</w:t>
        </w:r>
        <w:r>
          <w:rPr>
            <w:rFonts w:asciiTheme="minorHAnsi" w:eastAsiaTheme="minorEastAsia" w:hAnsiTheme="minorHAnsi" w:cstheme="minorBidi"/>
            <w:b w:val="0"/>
            <w:kern w:val="0"/>
            <w:sz w:val="22"/>
            <w:szCs w:val="22"/>
          </w:rPr>
          <w:tab/>
        </w:r>
        <w:r w:rsidRPr="00141770">
          <w:rPr>
            <w:rStyle w:val="Hyperlink"/>
          </w:rPr>
          <w:t>Module: Introduction</w:t>
        </w:r>
        <w:r>
          <w:rPr>
            <w:webHidden/>
          </w:rPr>
          <w:tab/>
        </w:r>
        <w:r>
          <w:rPr>
            <w:webHidden/>
          </w:rPr>
          <w:fldChar w:fldCharType="begin"/>
        </w:r>
        <w:r>
          <w:rPr>
            <w:webHidden/>
          </w:rPr>
          <w:instrText xml:space="preserve"> PAGEREF _Toc388442944 \h </w:instrText>
        </w:r>
        <w:r>
          <w:rPr>
            <w:webHidden/>
          </w:rPr>
        </w:r>
        <w:r>
          <w:rPr>
            <w:webHidden/>
          </w:rPr>
          <w:fldChar w:fldCharType="separate"/>
        </w:r>
        <w:r>
          <w:rPr>
            <w:webHidden/>
          </w:rPr>
          <w:t>11</w:t>
        </w:r>
        <w:r>
          <w:rPr>
            <w:webHidden/>
          </w:rPr>
          <w:fldChar w:fldCharType="end"/>
        </w:r>
      </w:hyperlink>
    </w:p>
    <w:p w14:paraId="1D519556" w14:textId="77777777" w:rsidR="00EF1CF9" w:rsidRDefault="00EF1CF9">
      <w:pPr>
        <w:pStyle w:val="TOC4"/>
        <w:rPr>
          <w:rFonts w:asciiTheme="minorHAnsi" w:eastAsiaTheme="minorEastAsia" w:hAnsiTheme="minorHAnsi" w:cstheme="minorBidi"/>
          <w:kern w:val="0"/>
          <w:sz w:val="22"/>
          <w:szCs w:val="22"/>
        </w:rPr>
      </w:pPr>
      <w:hyperlink w:anchor="_Toc388442945" w:history="1">
        <w:r w:rsidRPr="00141770">
          <w:rPr>
            <w:rStyle w:val="Hyperlink"/>
          </w:rPr>
          <w:t>1.1</w:t>
        </w:r>
        <w:r>
          <w:rPr>
            <w:rFonts w:asciiTheme="minorHAnsi" w:eastAsiaTheme="minorEastAsia" w:hAnsiTheme="minorHAnsi" w:cstheme="minorBidi"/>
            <w:kern w:val="0"/>
            <w:sz w:val="22"/>
            <w:szCs w:val="22"/>
          </w:rPr>
          <w:tab/>
        </w:r>
        <w:r w:rsidRPr="00141770">
          <w:rPr>
            <w:rStyle w:val="Hyperlink"/>
          </w:rPr>
          <w:t>2003 Power Grid Blackout</w:t>
        </w:r>
        <w:r>
          <w:rPr>
            <w:webHidden/>
          </w:rPr>
          <w:tab/>
        </w:r>
        <w:r>
          <w:rPr>
            <w:webHidden/>
          </w:rPr>
          <w:fldChar w:fldCharType="begin"/>
        </w:r>
        <w:r>
          <w:rPr>
            <w:webHidden/>
          </w:rPr>
          <w:instrText xml:space="preserve"> PAGEREF _Toc388442945 \h </w:instrText>
        </w:r>
        <w:r>
          <w:rPr>
            <w:webHidden/>
          </w:rPr>
        </w:r>
        <w:r>
          <w:rPr>
            <w:webHidden/>
          </w:rPr>
          <w:fldChar w:fldCharType="separate"/>
        </w:r>
        <w:r>
          <w:rPr>
            <w:webHidden/>
          </w:rPr>
          <w:t>11</w:t>
        </w:r>
        <w:r>
          <w:rPr>
            <w:webHidden/>
          </w:rPr>
          <w:fldChar w:fldCharType="end"/>
        </w:r>
      </w:hyperlink>
    </w:p>
    <w:p w14:paraId="5DDAD577" w14:textId="77777777" w:rsidR="00EF1CF9" w:rsidRDefault="00EF1CF9">
      <w:pPr>
        <w:pStyle w:val="TOC4"/>
        <w:rPr>
          <w:rFonts w:asciiTheme="minorHAnsi" w:eastAsiaTheme="minorEastAsia" w:hAnsiTheme="minorHAnsi" w:cstheme="minorBidi"/>
          <w:kern w:val="0"/>
          <w:sz w:val="22"/>
          <w:szCs w:val="22"/>
        </w:rPr>
      </w:pPr>
      <w:hyperlink w:anchor="_Toc388442946" w:history="1">
        <w:r w:rsidRPr="00141770">
          <w:rPr>
            <w:rStyle w:val="Hyperlink"/>
          </w:rPr>
          <w:t>1.2</w:t>
        </w:r>
        <w:r>
          <w:rPr>
            <w:rFonts w:asciiTheme="minorHAnsi" w:eastAsiaTheme="minorEastAsia" w:hAnsiTheme="minorHAnsi" w:cstheme="minorBidi"/>
            <w:kern w:val="0"/>
            <w:sz w:val="22"/>
            <w:szCs w:val="22"/>
          </w:rPr>
          <w:tab/>
        </w:r>
        <w:r w:rsidRPr="00141770">
          <w:rPr>
            <w:rStyle w:val="Hyperlink"/>
          </w:rPr>
          <w:t>The Power Grid Failure</w:t>
        </w:r>
        <w:r>
          <w:rPr>
            <w:webHidden/>
          </w:rPr>
          <w:tab/>
        </w:r>
        <w:r>
          <w:rPr>
            <w:webHidden/>
          </w:rPr>
          <w:fldChar w:fldCharType="begin"/>
        </w:r>
        <w:r>
          <w:rPr>
            <w:webHidden/>
          </w:rPr>
          <w:instrText xml:space="preserve"> PAGEREF _Toc388442946 \h </w:instrText>
        </w:r>
        <w:r>
          <w:rPr>
            <w:webHidden/>
          </w:rPr>
        </w:r>
        <w:r>
          <w:rPr>
            <w:webHidden/>
          </w:rPr>
          <w:fldChar w:fldCharType="separate"/>
        </w:r>
        <w:r>
          <w:rPr>
            <w:webHidden/>
          </w:rPr>
          <w:t>12</w:t>
        </w:r>
        <w:r>
          <w:rPr>
            <w:webHidden/>
          </w:rPr>
          <w:fldChar w:fldCharType="end"/>
        </w:r>
      </w:hyperlink>
    </w:p>
    <w:p w14:paraId="2F3C0C2D" w14:textId="77777777" w:rsidR="00EF1CF9" w:rsidRDefault="00EF1CF9">
      <w:pPr>
        <w:pStyle w:val="TOC5"/>
        <w:rPr>
          <w:rFonts w:asciiTheme="minorHAnsi" w:eastAsiaTheme="minorEastAsia" w:hAnsiTheme="minorHAnsi" w:cstheme="minorBidi"/>
          <w:sz w:val="22"/>
          <w:szCs w:val="22"/>
        </w:rPr>
      </w:pPr>
      <w:hyperlink w:anchor="_Toc388442947" w:history="1">
        <w:r w:rsidRPr="00141770">
          <w:rPr>
            <w:rStyle w:val="Hyperlink"/>
          </w:rPr>
          <w:t>1.2.1</w:t>
        </w:r>
        <w:r>
          <w:rPr>
            <w:rFonts w:asciiTheme="minorHAnsi" w:eastAsiaTheme="minorEastAsia" w:hAnsiTheme="minorHAnsi" w:cstheme="minorBidi"/>
            <w:sz w:val="22"/>
            <w:szCs w:val="22"/>
          </w:rPr>
          <w:tab/>
        </w:r>
        <w:r w:rsidRPr="00141770">
          <w:rPr>
            <w:rStyle w:val="Hyperlink"/>
          </w:rPr>
          <w:t>Software Assurance Analysis</w:t>
        </w:r>
        <w:r>
          <w:rPr>
            <w:webHidden/>
          </w:rPr>
          <w:tab/>
        </w:r>
        <w:r>
          <w:rPr>
            <w:webHidden/>
          </w:rPr>
          <w:fldChar w:fldCharType="begin"/>
        </w:r>
        <w:r>
          <w:rPr>
            <w:webHidden/>
          </w:rPr>
          <w:instrText xml:space="preserve"> PAGEREF _Toc388442947 \h </w:instrText>
        </w:r>
        <w:r>
          <w:rPr>
            <w:webHidden/>
          </w:rPr>
        </w:r>
        <w:r>
          <w:rPr>
            <w:webHidden/>
          </w:rPr>
          <w:fldChar w:fldCharType="separate"/>
        </w:r>
        <w:r>
          <w:rPr>
            <w:webHidden/>
          </w:rPr>
          <w:t>13</w:t>
        </w:r>
        <w:r>
          <w:rPr>
            <w:webHidden/>
          </w:rPr>
          <w:fldChar w:fldCharType="end"/>
        </w:r>
      </w:hyperlink>
    </w:p>
    <w:p w14:paraId="2DABDAF0" w14:textId="77777777" w:rsidR="00EF1CF9" w:rsidRDefault="00EF1CF9">
      <w:pPr>
        <w:pStyle w:val="TOC1"/>
        <w:rPr>
          <w:rFonts w:asciiTheme="minorHAnsi" w:eastAsiaTheme="minorEastAsia" w:hAnsiTheme="minorHAnsi" w:cstheme="minorBidi"/>
          <w:b w:val="0"/>
          <w:kern w:val="0"/>
          <w:sz w:val="22"/>
          <w:szCs w:val="22"/>
        </w:rPr>
      </w:pPr>
      <w:hyperlink w:anchor="_Toc388442948" w:history="1">
        <w:r w:rsidRPr="00141770">
          <w:rPr>
            <w:rStyle w:val="Hyperlink"/>
          </w:rPr>
          <w:t>2</w:t>
        </w:r>
        <w:r>
          <w:rPr>
            <w:rFonts w:asciiTheme="minorHAnsi" w:eastAsiaTheme="minorEastAsia" w:hAnsiTheme="minorHAnsi" w:cstheme="minorBidi"/>
            <w:b w:val="0"/>
            <w:kern w:val="0"/>
            <w:sz w:val="22"/>
            <w:szCs w:val="22"/>
          </w:rPr>
          <w:tab/>
        </w:r>
        <w:r w:rsidRPr="00141770">
          <w:rPr>
            <w:rStyle w:val="Hyperlink"/>
          </w:rPr>
          <w:t>Module: Risk Management</w:t>
        </w:r>
        <w:r>
          <w:rPr>
            <w:webHidden/>
          </w:rPr>
          <w:tab/>
        </w:r>
        <w:r>
          <w:rPr>
            <w:webHidden/>
          </w:rPr>
          <w:fldChar w:fldCharType="begin"/>
        </w:r>
        <w:r>
          <w:rPr>
            <w:webHidden/>
          </w:rPr>
          <w:instrText xml:space="preserve"> PAGEREF _Toc388442948 \h </w:instrText>
        </w:r>
        <w:r>
          <w:rPr>
            <w:webHidden/>
          </w:rPr>
        </w:r>
        <w:r>
          <w:rPr>
            <w:webHidden/>
          </w:rPr>
          <w:fldChar w:fldCharType="separate"/>
        </w:r>
        <w:r>
          <w:rPr>
            <w:webHidden/>
          </w:rPr>
          <w:t>14</w:t>
        </w:r>
        <w:r>
          <w:rPr>
            <w:webHidden/>
          </w:rPr>
          <w:fldChar w:fldCharType="end"/>
        </w:r>
      </w:hyperlink>
    </w:p>
    <w:p w14:paraId="34FAF2B1" w14:textId="77777777" w:rsidR="00EF1CF9" w:rsidRDefault="00EF1CF9">
      <w:pPr>
        <w:pStyle w:val="TOC1"/>
        <w:rPr>
          <w:rFonts w:asciiTheme="minorHAnsi" w:eastAsiaTheme="minorEastAsia" w:hAnsiTheme="minorHAnsi" w:cstheme="minorBidi"/>
          <w:b w:val="0"/>
          <w:kern w:val="0"/>
          <w:sz w:val="22"/>
          <w:szCs w:val="22"/>
        </w:rPr>
      </w:pPr>
      <w:hyperlink w:anchor="_Toc388442949" w:history="1">
        <w:r w:rsidRPr="00141770">
          <w:rPr>
            <w:rStyle w:val="Hyperlink"/>
          </w:rPr>
          <w:t>3</w:t>
        </w:r>
        <w:r>
          <w:rPr>
            <w:rFonts w:asciiTheme="minorHAnsi" w:eastAsiaTheme="minorEastAsia" w:hAnsiTheme="minorHAnsi" w:cstheme="minorBidi"/>
            <w:b w:val="0"/>
            <w:kern w:val="0"/>
            <w:sz w:val="22"/>
            <w:szCs w:val="22"/>
          </w:rPr>
          <w:tab/>
        </w:r>
        <w:r w:rsidRPr="00141770">
          <w:rPr>
            <w:rStyle w:val="Hyperlink"/>
          </w:rPr>
          <w:t>Module: Risk Management Process</w:t>
        </w:r>
        <w:r>
          <w:rPr>
            <w:webHidden/>
          </w:rPr>
          <w:tab/>
        </w:r>
        <w:r>
          <w:rPr>
            <w:webHidden/>
          </w:rPr>
          <w:fldChar w:fldCharType="begin"/>
        </w:r>
        <w:r>
          <w:rPr>
            <w:webHidden/>
          </w:rPr>
          <w:instrText xml:space="preserve"> PAGEREF _Toc388442949 \h </w:instrText>
        </w:r>
        <w:r>
          <w:rPr>
            <w:webHidden/>
          </w:rPr>
        </w:r>
        <w:r>
          <w:rPr>
            <w:webHidden/>
          </w:rPr>
          <w:fldChar w:fldCharType="separate"/>
        </w:r>
        <w:r>
          <w:rPr>
            <w:webHidden/>
          </w:rPr>
          <w:t>15</w:t>
        </w:r>
        <w:r>
          <w:rPr>
            <w:webHidden/>
          </w:rPr>
          <w:fldChar w:fldCharType="end"/>
        </w:r>
      </w:hyperlink>
    </w:p>
    <w:p w14:paraId="1A3D5169" w14:textId="77777777" w:rsidR="00EF1CF9" w:rsidRDefault="00EF1CF9">
      <w:pPr>
        <w:pStyle w:val="TOC1"/>
        <w:rPr>
          <w:rFonts w:asciiTheme="minorHAnsi" w:eastAsiaTheme="minorEastAsia" w:hAnsiTheme="minorHAnsi" w:cstheme="minorBidi"/>
          <w:b w:val="0"/>
          <w:kern w:val="0"/>
          <w:sz w:val="22"/>
          <w:szCs w:val="22"/>
        </w:rPr>
      </w:pPr>
      <w:hyperlink w:anchor="_Toc388442950" w:history="1">
        <w:r w:rsidRPr="00141770">
          <w:rPr>
            <w:rStyle w:val="Hyperlink"/>
          </w:rPr>
          <w:t>4</w:t>
        </w:r>
        <w:r>
          <w:rPr>
            <w:rFonts w:asciiTheme="minorHAnsi" w:eastAsiaTheme="minorEastAsia" w:hAnsiTheme="minorHAnsi" w:cstheme="minorBidi"/>
            <w:b w:val="0"/>
            <w:kern w:val="0"/>
            <w:sz w:val="22"/>
            <w:szCs w:val="22"/>
          </w:rPr>
          <w:tab/>
        </w:r>
        <w:r w:rsidRPr="00141770">
          <w:rPr>
            <w:rStyle w:val="Hyperlink"/>
          </w:rPr>
          <w:t>Module: Assurance Case</w:t>
        </w:r>
        <w:r>
          <w:rPr>
            <w:webHidden/>
          </w:rPr>
          <w:tab/>
        </w:r>
        <w:r>
          <w:rPr>
            <w:webHidden/>
          </w:rPr>
          <w:fldChar w:fldCharType="begin"/>
        </w:r>
        <w:r>
          <w:rPr>
            <w:webHidden/>
          </w:rPr>
          <w:instrText xml:space="preserve"> PAGEREF _Toc388442950 \h </w:instrText>
        </w:r>
        <w:r>
          <w:rPr>
            <w:webHidden/>
          </w:rPr>
        </w:r>
        <w:r>
          <w:rPr>
            <w:webHidden/>
          </w:rPr>
          <w:fldChar w:fldCharType="separate"/>
        </w:r>
        <w:r>
          <w:rPr>
            <w:webHidden/>
          </w:rPr>
          <w:t>17</w:t>
        </w:r>
        <w:r>
          <w:rPr>
            <w:webHidden/>
          </w:rPr>
          <w:fldChar w:fldCharType="end"/>
        </w:r>
      </w:hyperlink>
    </w:p>
    <w:p w14:paraId="3D68EC35" w14:textId="77777777" w:rsidR="00EF1CF9" w:rsidRDefault="00EF1CF9">
      <w:pPr>
        <w:pStyle w:val="TOC4"/>
        <w:rPr>
          <w:rFonts w:asciiTheme="minorHAnsi" w:eastAsiaTheme="minorEastAsia" w:hAnsiTheme="minorHAnsi" w:cstheme="minorBidi"/>
          <w:kern w:val="0"/>
          <w:sz w:val="22"/>
          <w:szCs w:val="22"/>
        </w:rPr>
      </w:pPr>
      <w:hyperlink w:anchor="_Toc388442951" w:history="1">
        <w:r w:rsidRPr="00141770">
          <w:rPr>
            <w:rStyle w:val="Hyperlink"/>
          </w:rPr>
          <w:t>4.1</w:t>
        </w:r>
        <w:r>
          <w:rPr>
            <w:rFonts w:asciiTheme="minorHAnsi" w:eastAsiaTheme="minorEastAsia" w:hAnsiTheme="minorHAnsi" w:cstheme="minorBidi"/>
            <w:kern w:val="0"/>
            <w:sz w:val="22"/>
            <w:szCs w:val="22"/>
          </w:rPr>
          <w:tab/>
        </w:r>
        <w:r w:rsidRPr="00141770">
          <w:rPr>
            <w:rStyle w:val="Hyperlink"/>
          </w:rPr>
          <w:t>From Weakness Removal (Static Analysis) to Weakness Prevention</w:t>
        </w:r>
        <w:r>
          <w:rPr>
            <w:webHidden/>
          </w:rPr>
          <w:tab/>
        </w:r>
        <w:r>
          <w:rPr>
            <w:webHidden/>
          </w:rPr>
          <w:fldChar w:fldCharType="begin"/>
        </w:r>
        <w:r>
          <w:rPr>
            <w:webHidden/>
          </w:rPr>
          <w:instrText xml:space="preserve"> PAGEREF _Toc388442951 \h </w:instrText>
        </w:r>
        <w:r>
          <w:rPr>
            <w:webHidden/>
          </w:rPr>
        </w:r>
        <w:r>
          <w:rPr>
            <w:webHidden/>
          </w:rPr>
          <w:fldChar w:fldCharType="separate"/>
        </w:r>
        <w:r>
          <w:rPr>
            <w:webHidden/>
          </w:rPr>
          <w:t>17</w:t>
        </w:r>
        <w:r>
          <w:rPr>
            <w:webHidden/>
          </w:rPr>
          <w:fldChar w:fldCharType="end"/>
        </w:r>
      </w:hyperlink>
    </w:p>
    <w:p w14:paraId="7D3A7688" w14:textId="77777777" w:rsidR="00EF1CF9" w:rsidRDefault="00EF1CF9">
      <w:pPr>
        <w:pStyle w:val="TOC4"/>
        <w:rPr>
          <w:rFonts w:asciiTheme="minorHAnsi" w:eastAsiaTheme="minorEastAsia" w:hAnsiTheme="minorHAnsi" w:cstheme="minorBidi"/>
          <w:kern w:val="0"/>
          <w:sz w:val="22"/>
          <w:szCs w:val="22"/>
        </w:rPr>
      </w:pPr>
      <w:hyperlink w:anchor="_Toc388442952" w:history="1">
        <w:r w:rsidRPr="00141770">
          <w:rPr>
            <w:rStyle w:val="Hyperlink"/>
          </w:rPr>
          <w:t>4.2</w:t>
        </w:r>
        <w:r>
          <w:rPr>
            <w:rFonts w:asciiTheme="minorHAnsi" w:eastAsiaTheme="minorEastAsia" w:hAnsiTheme="minorHAnsi" w:cstheme="minorBidi"/>
            <w:kern w:val="0"/>
            <w:sz w:val="22"/>
            <w:szCs w:val="22"/>
          </w:rPr>
          <w:tab/>
        </w:r>
        <w:r w:rsidRPr="00141770">
          <w:rPr>
            <w:rStyle w:val="Hyperlink"/>
          </w:rPr>
          <w:t>Power Grid Assurance Case</w:t>
        </w:r>
        <w:r>
          <w:rPr>
            <w:webHidden/>
          </w:rPr>
          <w:tab/>
        </w:r>
        <w:r>
          <w:rPr>
            <w:webHidden/>
          </w:rPr>
          <w:fldChar w:fldCharType="begin"/>
        </w:r>
        <w:r>
          <w:rPr>
            <w:webHidden/>
          </w:rPr>
          <w:instrText xml:space="preserve"> PAGEREF _Toc388442952 \h </w:instrText>
        </w:r>
        <w:r>
          <w:rPr>
            <w:webHidden/>
          </w:rPr>
        </w:r>
        <w:r>
          <w:rPr>
            <w:webHidden/>
          </w:rPr>
          <w:fldChar w:fldCharType="separate"/>
        </w:r>
        <w:r>
          <w:rPr>
            <w:webHidden/>
          </w:rPr>
          <w:t>19</w:t>
        </w:r>
        <w:r>
          <w:rPr>
            <w:webHidden/>
          </w:rPr>
          <w:fldChar w:fldCharType="end"/>
        </w:r>
      </w:hyperlink>
    </w:p>
    <w:p w14:paraId="46E231F9" w14:textId="77777777" w:rsidR="00EF1CF9" w:rsidRDefault="00EF1CF9">
      <w:pPr>
        <w:pStyle w:val="TOC5"/>
        <w:rPr>
          <w:rFonts w:asciiTheme="minorHAnsi" w:eastAsiaTheme="minorEastAsia" w:hAnsiTheme="minorHAnsi" w:cstheme="minorBidi"/>
          <w:sz w:val="22"/>
          <w:szCs w:val="22"/>
        </w:rPr>
      </w:pPr>
      <w:hyperlink w:anchor="_Toc388442953" w:history="1">
        <w:r w:rsidRPr="00141770">
          <w:rPr>
            <w:rStyle w:val="Hyperlink"/>
          </w:rPr>
          <w:t>4.2.1</w:t>
        </w:r>
        <w:r>
          <w:rPr>
            <w:rFonts w:asciiTheme="minorHAnsi" w:eastAsiaTheme="minorEastAsia" w:hAnsiTheme="minorHAnsi" w:cstheme="minorBidi"/>
            <w:sz w:val="22"/>
            <w:szCs w:val="22"/>
          </w:rPr>
          <w:tab/>
        </w:r>
        <w:r w:rsidRPr="00141770">
          <w:rPr>
            <w:rStyle w:val="Hyperlink"/>
          </w:rPr>
          <w:t>Other Observations</w:t>
        </w:r>
        <w:r>
          <w:rPr>
            <w:webHidden/>
          </w:rPr>
          <w:tab/>
        </w:r>
        <w:r>
          <w:rPr>
            <w:webHidden/>
          </w:rPr>
          <w:fldChar w:fldCharType="begin"/>
        </w:r>
        <w:r>
          <w:rPr>
            <w:webHidden/>
          </w:rPr>
          <w:instrText xml:space="preserve"> PAGEREF _Toc388442953 \h </w:instrText>
        </w:r>
        <w:r>
          <w:rPr>
            <w:webHidden/>
          </w:rPr>
        </w:r>
        <w:r>
          <w:rPr>
            <w:webHidden/>
          </w:rPr>
          <w:fldChar w:fldCharType="separate"/>
        </w:r>
        <w:r>
          <w:rPr>
            <w:webHidden/>
          </w:rPr>
          <w:t>21</w:t>
        </w:r>
        <w:r>
          <w:rPr>
            <w:webHidden/>
          </w:rPr>
          <w:fldChar w:fldCharType="end"/>
        </w:r>
      </w:hyperlink>
    </w:p>
    <w:p w14:paraId="6EA3ECF4" w14:textId="77777777" w:rsidR="00EF1CF9" w:rsidRDefault="00EF1CF9">
      <w:pPr>
        <w:pStyle w:val="TOC4"/>
        <w:rPr>
          <w:rFonts w:asciiTheme="minorHAnsi" w:eastAsiaTheme="minorEastAsia" w:hAnsiTheme="minorHAnsi" w:cstheme="minorBidi"/>
          <w:kern w:val="0"/>
          <w:sz w:val="22"/>
          <w:szCs w:val="22"/>
        </w:rPr>
      </w:pPr>
      <w:hyperlink w:anchor="_Toc388442954" w:history="1">
        <w:r w:rsidRPr="00141770">
          <w:rPr>
            <w:rStyle w:val="Hyperlink"/>
          </w:rPr>
          <w:t>4.3</w:t>
        </w:r>
        <w:r>
          <w:rPr>
            <w:rFonts w:asciiTheme="minorHAnsi" w:eastAsiaTheme="minorEastAsia" w:hAnsiTheme="minorHAnsi" w:cstheme="minorBidi"/>
            <w:kern w:val="0"/>
            <w:sz w:val="22"/>
            <w:szCs w:val="22"/>
          </w:rPr>
          <w:tab/>
        </w:r>
        <w:r w:rsidRPr="00141770">
          <w:rPr>
            <w:rStyle w:val="Hyperlink"/>
          </w:rPr>
          <w:t>Sustainment</w:t>
        </w:r>
        <w:r>
          <w:rPr>
            <w:webHidden/>
          </w:rPr>
          <w:tab/>
        </w:r>
        <w:r>
          <w:rPr>
            <w:webHidden/>
          </w:rPr>
          <w:fldChar w:fldCharType="begin"/>
        </w:r>
        <w:r>
          <w:rPr>
            <w:webHidden/>
          </w:rPr>
          <w:instrText xml:space="preserve"> PAGEREF _Toc388442954 \h </w:instrText>
        </w:r>
        <w:r>
          <w:rPr>
            <w:webHidden/>
          </w:rPr>
        </w:r>
        <w:r>
          <w:rPr>
            <w:webHidden/>
          </w:rPr>
          <w:fldChar w:fldCharType="separate"/>
        </w:r>
        <w:r>
          <w:rPr>
            <w:webHidden/>
          </w:rPr>
          <w:t>21</w:t>
        </w:r>
        <w:r>
          <w:rPr>
            <w:webHidden/>
          </w:rPr>
          <w:fldChar w:fldCharType="end"/>
        </w:r>
      </w:hyperlink>
    </w:p>
    <w:p w14:paraId="21C64221" w14:textId="77777777" w:rsidR="00EF1CF9" w:rsidRDefault="00EF1CF9">
      <w:pPr>
        <w:pStyle w:val="TOC1"/>
        <w:rPr>
          <w:rFonts w:asciiTheme="minorHAnsi" w:eastAsiaTheme="minorEastAsia" w:hAnsiTheme="minorHAnsi" w:cstheme="minorBidi"/>
          <w:b w:val="0"/>
          <w:kern w:val="0"/>
          <w:sz w:val="22"/>
          <w:szCs w:val="22"/>
        </w:rPr>
      </w:pPr>
      <w:hyperlink w:anchor="_Toc388442955" w:history="1">
        <w:r w:rsidRPr="00141770">
          <w:rPr>
            <w:rStyle w:val="Hyperlink"/>
          </w:rPr>
          <w:t>5</w:t>
        </w:r>
        <w:r>
          <w:rPr>
            <w:rFonts w:asciiTheme="minorHAnsi" w:eastAsiaTheme="minorEastAsia" w:hAnsiTheme="minorHAnsi" w:cstheme="minorBidi"/>
            <w:b w:val="0"/>
            <w:kern w:val="0"/>
            <w:sz w:val="22"/>
            <w:szCs w:val="22"/>
          </w:rPr>
          <w:tab/>
        </w:r>
        <w:r w:rsidRPr="00141770">
          <w:rPr>
            <w:rStyle w:val="Hyperlink"/>
          </w:rPr>
          <w:t>Module: Confidence</w:t>
        </w:r>
        <w:r>
          <w:rPr>
            <w:webHidden/>
          </w:rPr>
          <w:tab/>
        </w:r>
        <w:r>
          <w:rPr>
            <w:webHidden/>
          </w:rPr>
          <w:fldChar w:fldCharType="begin"/>
        </w:r>
        <w:r>
          <w:rPr>
            <w:webHidden/>
          </w:rPr>
          <w:instrText xml:space="preserve"> PAGEREF _Toc388442955 \h </w:instrText>
        </w:r>
        <w:r>
          <w:rPr>
            <w:webHidden/>
          </w:rPr>
        </w:r>
        <w:r>
          <w:rPr>
            <w:webHidden/>
          </w:rPr>
          <w:fldChar w:fldCharType="separate"/>
        </w:r>
        <w:r>
          <w:rPr>
            <w:webHidden/>
          </w:rPr>
          <w:t>23</w:t>
        </w:r>
        <w:r>
          <w:rPr>
            <w:webHidden/>
          </w:rPr>
          <w:fldChar w:fldCharType="end"/>
        </w:r>
      </w:hyperlink>
    </w:p>
    <w:p w14:paraId="4DE3BEA2" w14:textId="77777777" w:rsidR="00EF1CF9" w:rsidRDefault="00EF1CF9">
      <w:pPr>
        <w:pStyle w:val="TOC4"/>
        <w:rPr>
          <w:rFonts w:asciiTheme="minorHAnsi" w:eastAsiaTheme="minorEastAsia" w:hAnsiTheme="minorHAnsi" w:cstheme="minorBidi"/>
          <w:kern w:val="0"/>
          <w:sz w:val="22"/>
          <w:szCs w:val="22"/>
        </w:rPr>
      </w:pPr>
      <w:hyperlink w:anchor="_Toc388442956" w:history="1">
        <w:r w:rsidRPr="00141770">
          <w:rPr>
            <w:rStyle w:val="Hyperlink"/>
          </w:rPr>
          <w:t>5.1</w:t>
        </w:r>
        <w:r>
          <w:rPr>
            <w:rFonts w:asciiTheme="minorHAnsi" w:eastAsiaTheme="minorEastAsia" w:hAnsiTheme="minorHAnsi" w:cstheme="minorBidi"/>
            <w:kern w:val="0"/>
            <w:sz w:val="22"/>
            <w:szCs w:val="22"/>
          </w:rPr>
          <w:tab/>
        </w:r>
        <w:r w:rsidRPr="00141770">
          <w:rPr>
            <w:rStyle w:val="Hyperlink"/>
          </w:rPr>
          <w:t>Eliminative Induction</w:t>
        </w:r>
        <w:r>
          <w:rPr>
            <w:webHidden/>
          </w:rPr>
          <w:tab/>
        </w:r>
        <w:r>
          <w:rPr>
            <w:webHidden/>
          </w:rPr>
          <w:fldChar w:fldCharType="begin"/>
        </w:r>
        <w:r>
          <w:rPr>
            <w:webHidden/>
          </w:rPr>
          <w:instrText xml:space="preserve"> PAGEREF _Toc388442956 \h </w:instrText>
        </w:r>
        <w:r>
          <w:rPr>
            <w:webHidden/>
          </w:rPr>
        </w:r>
        <w:r>
          <w:rPr>
            <w:webHidden/>
          </w:rPr>
          <w:fldChar w:fldCharType="separate"/>
        </w:r>
        <w:r>
          <w:rPr>
            <w:webHidden/>
          </w:rPr>
          <w:t>23</w:t>
        </w:r>
        <w:r>
          <w:rPr>
            <w:webHidden/>
          </w:rPr>
          <w:fldChar w:fldCharType="end"/>
        </w:r>
      </w:hyperlink>
    </w:p>
    <w:p w14:paraId="3515341B" w14:textId="77777777" w:rsidR="00EF1CF9" w:rsidRDefault="00EF1CF9">
      <w:pPr>
        <w:pStyle w:val="TOC4"/>
        <w:rPr>
          <w:rFonts w:asciiTheme="minorHAnsi" w:eastAsiaTheme="minorEastAsia" w:hAnsiTheme="minorHAnsi" w:cstheme="minorBidi"/>
          <w:kern w:val="0"/>
          <w:sz w:val="22"/>
          <w:szCs w:val="22"/>
        </w:rPr>
      </w:pPr>
      <w:hyperlink w:anchor="_Toc388442957" w:history="1">
        <w:r w:rsidRPr="00141770">
          <w:rPr>
            <w:rStyle w:val="Hyperlink"/>
          </w:rPr>
          <w:t>5.2</w:t>
        </w:r>
        <w:r>
          <w:rPr>
            <w:rFonts w:asciiTheme="minorHAnsi" w:eastAsiaTheme="minorEastAsia" w:hAnsiTheme="minorHAnsi" w:cstheme="minorBidi"/>
            <w:kern w:val="0"/>
            <w:sz w:val="22"/>
            <w:szCs w:val="22"/>
          </w:rPr>
          <w:tab/>
        </w:r>
        <w:r w:rsidRPr="00141770">
          <w:rPr>
            <w:rStyle w:val="Hyperlink"/>
          </w:rPr>
          <w:t>Software Assurance Justification</w:t>
        </w:r>
        <w:r>
          <w:rPr>
            <w:webHidden/>
          </w:rPr>
          <w:tab/>
        </w:r>
        <w:r>
          <w:rPr>
            <w:webHidden/>
          </w:rPr>
          <w:fldChar w:fldCharType="begin"/>
        </w:r>
        <w:r>
          <w:rPr>
            <w:webHidden/>
          </w:rPr>
          <w:instrText xml:space="preserve"> PAGEREF _Toc388442957 \h </w:instrText>
        </w:r>
        <w:r>
          <w:rPr>
            <w:webHidden/>
          </w:rPr>
        </w:r>
        <w:r>
          <w:rPr>
            <w:webHidden/>
          </w:rPr>
          <w:fldChar w:fldCharType="separate"/>
        </w:r>
        <w:r>
          <w:rPr>
            <w:webHidden/>
          </w:rPr>
          <w:t>23</w:t>
        </w:r>
        <w:r>
          <w:rPr>
            <w:webHidden/>
          </w:rPr>
          <w:fldChar w:fldCharType="end"/>
        </w:r>
      </w:hyperlink>
    </w:p>
    <w:p w14:paraId="097CAED4" w14:textId="77777777" w:rsidR="00EF1CF9" w:rsidRDefault="00EF1CF9">
      <w:pPr>
        <w:pStyle w:val="TOC4"/>
        <w:rPr>
          <w:rFonts w:asciiTheme="minorHAnsi" w:eastAsiaTheme="minorEastAsia" w:hAnsiTheme="minorHAnsi" w:cstheme="minorBidi"/>
          <w:kern w:val="0"/>
          <w:sz w:val="22"/>
          <w:szCs w:val="22"/>
        </w:rPr>
      </w:pPr>
      <w:hyperlink w:anchor="_Toc388442958" w:history="1">
        <w:r w:rsidRPr="00141770">
          <w:rPr>
            <w:rStyle w:val="Hyperlink"/>
          </w:rPr>
          <w:t>5.3</w:t>
        </w:r>
        <w:r>
          <w:rPr>
            <w:rFonts w:asciiTheme="minorHAnsi" w:eastAsiaTheme="minorEastAsia" w:hAnsiTheme="minorHAnsi" w:cstheme="minorBidi"/>
            <w:kern w:val="0"/>
            <w:sz w:val="22"/>
            <w:szCs w:val="22"/>
          </w:rPr>
          <w:tab/>
        </w:r>
        <w:r w:rsidRPr="00141770">
          <w:rPr>
            <w:rStyle w:val="Hyperlink"/>
          </w:rPr>
          <w:t>Reviews and Development as an Assurance Case</w:t>
        </w:r>
        <w:r>
          <w:rPr>
            <w:webHidden/>
          </w:rPr>
          <w:tab/>
        </w:r>
        <w:r>
          <w:rPr>
            <w:webHidden/>
          </w:rPr>
          <w:fldChar w:fldCharType="begin"/>
        </w:r>
        <w:r>
          <w:rPr>
            <w:webHidden/>
          </w:rPr>
          <w:instrText xml:space="preserve"> PAGEREF _Toc388442958 \h </w:instrText>
        </w:r>
        <w:r>
          <w:rPr>
            <w:webHidden/>
          </w:rPr>
        </w:r>
        <w:r>
          <w:rPr>
            <w:webHidden/>
          </w:rPr>
          <w:fldChar w:fldCharType="separate"/>
        </w:r>
        <w:r>
          <w:rPr>
            <w:webHidden/>
          </w:rPr>
          <w:t>25</w:t>
        </w:r>
        <w:r>
          <w:rPr>
            <w:webHidden/>
          </w:rPr>
          <w:fldChar w:fldCharType="end"/>
        </w:r>
      </w:hyperlink>
    </w:p>
    <w:p w14:paraId="0F4BA547" w14:textId="77777777" w:rsidR="00EF1CF9" w:rsidRDefault="00EF1CF9">
      <w:pPr>
        <w:pStyle w:val="TOC4"/>
        <w:rPr>
          <w:rFonts w:asciiTheme="minorHAnsi" w:eastAsiaTheme="minorEastAsia" w:hAnsiTheme="minorHAnsi" w:cstheme="minorBidi"/>
          <w:kern w:val="0"/>
          <w:sz w:val="22"/>
          <w:szCs w:val="22"/>
        </w:rPr>
      </w:pPr>
      <w:hyperlink w:anchor="_Toc388442959" w:history="1">
        <w:r w:rsidRPr="00141770">
          <w:rPr>
            <w:rStyle w:val="Hyperlink"/>
          </w:rPr>
          <w:t>5.4</w:t>
        </w:r>
        <w:r>
          <w:rPr>
            <w:rFonts w:asciiTheme="minorHAnsi" w:eastAsiaTheme="minorEastAsia" w:hAnsiTheme="minorHAnsi" w:cstheme="minorBidi"/>
            <w:kern w:val="0"/>
            <w:sz w:val="22"/>
            <w:szCs w:val="22"/>
          </w:rPr>
          <w:tab/>
        </w:r>
        <w:r w:rsidRPr="00141770">
          <w:rPr>
            <w:rStyle w:val="Hyperlink"/>
          </w:rPr>
          <w:t>Eliminative Induction</w:t>
        </w:r>
        <w:r>
          <w:rPr>
            <w:webHidden/>
          </w:rPr>
          <w:tab/>
        </w:r>
        <w:r>
          <w:rPr>
            <w:webHidden/>
          </w:rPr>
          <w:fldChar w:fldCharType="begin"/>
        </w:r>
        <w:r>
          <w:rPr>
            <w:webHidden/>
          </w:rPr>
          <w:instrText xml:space="preserve"> PAGEREF _Toc388442959 \h </w:instrText>
        </w:r>
        <w:r>
          <w:rPr>
            <w:webHidden/>
          </w:rPr>
        </w:r>
        <w:r>
          <w:rPr>
            <w:webHidden/>
          </w:rPr>
          <w:fldChar w:fldCharType="separate"/>
        </w:r>
        <w:r>
          <w:rPr>
            <w:webHidden/>
          </w:rPr>
          <w:t>25</w:t>
        </w:r>
        <w:r>
          <w:rPr>
            <w:webHidden/>
          </w:rPr>
          <w:fldChar w:fldCharType="end"/>
        </w:r>
      </w:hyperlink>
    </w:p>
    <w:p w14:paraId="6410595A" w14:textId="77777777" w:rsidR="00EF1CF9" w:rsidRDefault="00EF1CF9">
      <w:pPr>
        <w:pStyle w:val="TOC4"/>
        <w:rPr>
          <w:rFonts w:asciiTheme="minorHAnsi" w:eastAsiaTheme="minorEastAsia" w:hAnsiTheme="minorHAnsi" w:cstheme="minorBidi"/>
          <w:kern w:val="0"/>
          <w:sz w:val="22"/>
          <w:szCs w:val="22"/>
        </w:rPr>
      </w:pPr>
      <w:hyperlink w:anchor="_Toc388442960" w:history="1">
        <w:r w:rsidRPr="00141770">
          <w:rPr>
            <w:rStyle w:val="Hyperlink"/>
          </w:rPr>
          <w:t>5.5</w:t>
        </w:r>
        <w:r>
          <w:rPr>
            <w:rFonts w:asciiTheme="minorHAnsi" w:eastAsiaTheme="minorEastAsia" w:hAnsiTheme="minorHAnsi" w:cstheme="minorBidi"/>
            <w:kern w:val="0"/>
            <w:sz w:val="22"/>
            <w:szCs w:val="22"/>
          </w:rPr>
          <w:tab/>
        </w:r>
        <w:r w:rsidRPr="00141770">
          <w:rPr>
            <w:rStyle w:val="Hyperlink"/>
          </w:rPr>
          <w:t>Infusion Pump Assurance Case</w:t>
        </w:r>
        <w:r>
          <w:rPr>
            <w:webHidden/>
          </w:rPr>
          <w:tab/>
        </w:r>
        <w:r>
          <w:rPr>
            <w:webHidden/>
          </w:rPr>
          <w:fldChar w:fldCharType="begin"/>
        </w:r>
        <w:r>
          <w:rPr>
            <w:webHidden/>
          </w:rPr>
          <w:instrText xml:space="preserve"> PAGEREF _Toc388442960 \h </w:instrText>
        </w:r>
        <w:r>
          <w:rPr>
            <w:webHidden/>
          </w:rPr>
        </w:r>
        <w:r>
          <w:rPr>
            <w:webHidden/>
          </w:rPr>
          <w:fldChar w:fldCharType="separate"/>
        </w:r>
        <w:r>
          <w:rPr>
            <w:webHidden/>
          </w:rPr>
          <w:t>27</w:t>
        </w:r>
        <w:r>
          <w:rPr>
            <w:webHidden/>
          </w:rPr>
          <w:fldChar w:fldCharType="end"/>
        </w:r>
      </w:hyperlink>
    </w:p>
    <w:p w14:paraId="6240B340" w14:textId="77777777" w:rsidR="00EF1CF9" w:rsidRDefault="00EF1CF9">
      <w:pPr>
        <w:pStyle w:val="TOC1"/>
        <w:rPr>
          <w:rFonts w:asciiTheme="minorHAnsi" w:eastAsiaTheme="minorEastAsia" w:hAnsiTheme="minorHAnsi" w:cstheme="minorBidi"/>
          <w:b w:val="0"/>
          <w:kern w:val="0"/>
          <w:sz w:val="22"/>
          <w:szCs w:val="22"/>
        </w:rPr>
      </w:pPr>
      <w:hyperlink w:anchor="_Toc388442961" w:history="1">
        <w:r w:rsidRPr="00141770">
          <w:rPr>
            <w:rStyle w:val="Hyperlink"/>
          </w:rPr>
          <w:t>6</w:t>
        </w:r>
        <w:r>
          <w:rPr>
            <w:rFonts w:asciiTheme="minorHAnsi" w:eastAsiaTheme="minorEastAsia" w:hAnsiTheme="minorHAnsi" w:cstheme="minorBidi"/>
            <w:b w:val="0"/>
            <w:kern w:val="0"/>
            <w:sz w:val="22"/>
            <w:szCs w:val="22"/>
          </w:rPr>
          <w:tab/>
        </w:r>
        <w:r w:rsidRPr="00141770">
          <w:rPr>
            <w:rStyle w:val="Hyperlink"/>
          </w:rPr>
          <w:t>Module: Writing an Assurance Case</w:t>
        </w:r>
        <w:r>
          <w:rPr>
            <w:webHidden/>
          </w:rPr>
          <w:tab/>
        </w:r>
        <w:r>
          <w:rPr>
            <w:webHidden/>
          </w:rPr>
          <w:fldChar w:fldCharType="begin"/>
        </w:r>
        <w:r>
          <w:rPr>
            <w:webHidden/>
          </w:rPr>
          <w:instrText xml:space="preserve"> PAGEREF _Toc388442961 \h </w:instrText>
        </w:r>
        <w:r>
          <w:rPr>
            <w:webHidden/>
          </w:rPr>
        </w:r>
        <w:r>
          <w:rPr>
            <w:webHidden/>
          </w:rPr>
          <w:fldChar w:fldCharType="separate"/>
        </w:r>
        <w:r>
          <w:rPr>
            <w:webHidden/>
          </w:rPr>
          <w:t>30</w:t>
        </w:r>
        <w:r>
          <w:rPr>
            <w:webHidden/>
          </w:rPr>
          <w:fldChar w:fldCharType="end"/>
        </w:r>
      </w:hyperlink>
    </w:p>
    <w:p w14:paraId="67298B1E" w14:textId="77777777" w:rsidR="00EF1CF9" w:rsidRDefault="00EF1CF9">
      <w:pPr>
        <w:pStyle w:val="TOC1"/>
        <w:rPr>
          <w:rFonts w:asciiTheme="minorHAnsi" w:eastAsiaTheme="minorEastAsia" w:hAnsiTheme="minorHAnsi" w:cstheme="minorBidi"/>
          <w:b w:val="0"/>
          <w:kern w:val="0"/>
          <w:sz w:val="22"/>
          <w:szCs w:val="22"/>
        </w:rPr>
      </w:pPr>
      <w:hyperlink w:anchor="_Toc388442962" w:history="1">
        <w:r w:rsidRPr="00141770">
          <w:rPr>
            <w:rStyle w:val="Hyperlink"/>
          </w:rPr>
          <w:t>7</w:t>
        </w:r>
        <w:r>
          <w:rPr>
            <w:rFonts w:asciiTheme="minorHAnsi" w:eastAsiaTheme="minorEastAsia" w:hAnsiTheme="minorHAnsi" w:cstheme="minorBidi"/>
            <w:b w:val="0"/>
            <w:kern w:val="0"/>
            <w:sz w:val="22"/>
            <w:szCs w:val="22"/>
          </w:rPr>
          <w:tab/>
        </w:r>
        <w:r w:rsidRPr="00141770">
          <w:rPr>
            <w:rStyle w:val="Hyperlink"/>
          </w:rPr>
          <w:t>Module: Building Security In Maturity Model (BSIMM)</w:t>
        </w:r>
        <w:r>
          <w:rPr>
            <w:webHidden/>
          </w:rPr>
          <w:tab/>
        </w:r>
        <w:r>
          <w:rPr>
            <w:webHidden/>
          </w:rPr>
          <w:fldChar w:fldCharType="begin"/>
        </w:r>
        <w:r>
          <w:rPr>
            <w:webHidden/>
          </w:rPr>
          <w:instrText xml:space="preserve"> PAGEREF _Toc388442962 \h </w:instrText>
        </w:r>
        <w:r>
          <w:rPr>
            <w:webHidden/>
          </w:rPr>
        </w:r>
        <w:r>
          <w:rPr>
            <w:webHidden/>
          </w:rPr>
          <w:fldChar w:fldCharType="separate"/>
        </w:r>
        <w:r>
          <w:rPr>
            <w:webHidden/>
          </w:rPr>
          <w:t>31</w:t>
        </w:r>
        <w:r>
          <w:rPr>
            <w:webHidden/>
          </w:rPr>
          <w:fldChar w:fldCharType="end"/>
        </w:r>
      </w:hyperlink>
    </w:p>
    <w:p w14:paraId="3FCAFB2E" w14:textId="77777777" w:rsidR="00EF1CF9" w:rsidRDefault="00EF1CF9">
      <w:pPr>
        <w:pStyle w:val="TOC1"/>
        <w:rPr>
          <w:rFonts w:asciiTheme="minorHAnsi" w:eastAsiaTheme="minorEastAsia" w:hAnsiTheme="minorHAnsi" w:cstheme="minorBidi"/>
          <w:b w:val="0"/>
          <w:kern w:val="0"/>
          <w:sz w:val="22"/>
          <w:szCs w:val="22"/>
        </w:rPr>
      </w:pPr>
      <w:hyperlink w:anchor="_Toc388442963" w:history="1">
        <w:r w:rsidRPr="00141770">
          <w:rPr>
            <w:rStyle w:val="Hyperlink"/>
          </w:rPr>
          <w:t>8</w:t>
        </w:r>
        <w:r>
          <w:rPr>
            <w:rFonts w:asciiTheme="minorHAnsi" w:eastAsiaTheme="minorEastAsia" w:hAnsiTheme="minorHAnsi" w:cstheme="minorBidi"/>
            <w:b w:val="0"/>
            <w:kern w:val="0"/>
            <w:sz w:val="22"/>
            <w:szCs w:val="22"/>
          </w:rPr>
          <w:tab/>
        </w:r>
        <w:r w:rsidRPr="00141770">
          <w:rPr>
            <w:rStyle w:val="Hyperlink"/>
          </w:rPr>
          <w:t>Module: Open Group Assurance Case</w:t>
        </w:r>
        <w:r>
          <w:rPr>
            <w:webHidden/>
          </w:rPr>
          <w:tab/>
        </w:r>
        <w:r>
          <w:rPr>
            <w:webHidden/>
          </w:rPr>
          <w:fldChar w:fldCharType="begin"/>
        </w:r>
        <w:r>
          <w:rPr>
            <w:webHidden/>
          </w:rPr>
          <w:instrText xml:space="preserve"> PAGEREF _Toc388442963 \h </w:instrText>
        </w:r>
        <w:r>
          <w:rPr>
            <w:webHidden/>
          </w:rPr>
        </w:r>
        <w:r>
          <w:rPr>
            <w:webHidden/>
          </w:rPr>
          <w:fldChar w:fldCharType="separate"/>
        </w:r>
        <w:r>
          <w:rPr>
            <w:webHidden/>
          </w:rPr>
          <w:t>32</w:t>
        </w:r>
        <w:r>
          <w:rPr>
            <w:webHidden/>
          </w:rPr>
          <w:fldChar w:fldCharType="end"/>
        </w:r>
      </w:hyperlink>
    </w:p>
    <w:p w14:paraId="6912E229" w14:textId="77777777" w:rsidR="00EF1CF9" w:rsidRDefault="00EF1CF9">
      <w:pPr>
        <w:pStyle w:val="TOC1"/>
        <w:rPr>
          <w:rFonts w:asciiTheme="minorHAnsi" w:eastAsiaTheme="minorEastAsia" w:hAnsiTheme="minorHAnsi" w:cstheme="minorBidi"/>
          <w:b w:val="0"/>
          <w:kern w:val="0"/>
          <w:sz w:val="22"/>
          <w:szCs w:val="22"/>
        </w:rPr>
      </w:pPr>
      <w:hyperlink w:anchor="_Toc388442964" w:history="1">
        <w:r w:rsidRPr="00141770">
          <w:rPr>
            <w:rStyle w:val="Hyperlink"/>
          </w:rPr>
          <w:t>9</w:t>
        </w:r>
        <w:r>
          <w:rPr>
            <w:rFonts w:asciiTheme="minorHAnsi" w:eastAsiaTheme="minorEastAsia" w:hAnsiTheme="minorHAnsi" w:cstheme="minorBidi"/>
            <w:b w:val="0"/>
            <w:kern w:val="0"/>
            <w:sz w:val="22"/>
            <w:szCs w:val="22"/>
          </w:rPr>
          <w:tab/>
        </w:r>
        <w:r w:rsidRPr="00141770">
          <w:rPr>
            <w:rStyle w:val="Hyperlink"/>
          </w:rPr>
          <w:t>Module: Systems and System of Systems</w:t>
        </w:r>
        <w:r>
          <w:rPr>
            <w:webHidden/>
          </w:rPr>
          <w:tab/>
        </w:r>
        <w:r>
          <w:rPr>
            <w:webHidden/>
          </w:rPr>
          <w:fldChar w:fldCharType="begin"/>
        </w:r>
        <w:r>
          <w:rPr>
            <w:webHidden/>
          </w:rPr>
          <w:instrText xml:space="preserve"> PAGEREF _Toc388442964 \h </w:instrText>
        </w:r>
        <w:r>
          <w:rPr>
            <w:webHidden/>
          </w:rPr>
        </w:r>
        <w:r>
          <w:rPr>
            <w:webHidden/>
          </w:rPr>
          <w:fldChar w:fldCharType="separate"/>
        </w:r>
        <w:r>
          <w:rPr>
            <w:webHidden/>
          </w:rPr>
          <w:t>33</w:t>
        </w:r>
        <w:r>
          <w:rPr>
            <w:webHidden/>
          </w:rPr>
          <w:fldChar w:fldCharType="end"/>
        </w:r>
      </w:hyperlink>
    </w:p>
    <w:p w14:paraId="147B1F8E" w14:textId="77777777" w:rsidR="00EF1CF9" w:rsidRDefault="00EF1CF9">
      <w:pPr>
        <w:pStyle w:val="TOC2"/>
        <w:rPr>
          <w:rFonts w:asciiTheme="minorHAnsi" w:eastAsiaTheme="minorEastAsia" w:hAnsiTheme="minorHAnsi" w:cstheme="minorBidi"/>
          <w:b w:val="0"/>
          <w:kern w:val="0"/>
          <w:sz w:val="22"/>
          <w:szCs w:val="22"/>
        </w:rPr>
      </w:pPr>
      <w:hyperlink w:anchor="_Toc388442965" w:history="1">
        <w:r w:rsidRPr="00141770">
          <w:rPr>
            <w:rStyle w:val="Hyperlink"/>
          </w:rPr>
          <w:t>Project</w:t>
        </w:r>
        <w:r>
          <w:rPr>
            <w:webHidden/>
          </w:rPr>
          <w:tab/>
        </w:r>
        <w:r>
          <w:rPr>
            <w:webHidden/>
          </w:rPr>
          <w:fldChar w:fldCharType="begin"/>
        </w:r>
        <w:r>
          <w:rPr>
            <w:webHidden/>
          </w:rPr>
          <w:instrText xml:space="preserve"> PAGEREF _Toc388442965 \h </w:instrText>
        </w:r>
        <w:r>
          <w:rPr>
            <w:webHidden/>
          </w:rPr>
        </w:r>
        <w:r>
          <w:rPr>
            <w:webHidden/>
          </w:rPr>
          <w:fldChar w:fldCharType="separate"/>
        </w:r>
        <w:r>
          <w:rPr>
            <w:webHidden/>
          </w:rPr>
          <w:t>36</w:t>
        </w:r>
        <w:r>
          <w:rPr>
            <w:webHidden/>
          </w:rPr>
          <w:fldChar w:fldCharType="end"/>
        </w:r>
      </w:hyperlink>
    </w:p>
    <w:p w14:paraId="52764A33" w14:textId="77777777" w:rsidR="00EF1CF9" w:rsidRDefault="00EF1CF9">
      <w:pPr>
        <w:pStyle w:val="TOC2"/>
        <w:rPr>
          <w:rFonts w:asciiTheme="minorHAnsi" w:eastAsiaTheme="minorEastAsia" w:hAnsiTheme="minorHAnsi" w:cstheme="minorBidi"/>
          <w:b w:val="0"/>
          <w:kern w:val="0"/>
          <w:sz w:val="22"/>
          <w:szCs w:val="22"/>
        </w:rPr>
      </w:pPr>
      <w:hyperlink w:anchor="_Toc388442966" w:history="1">
        <w:r w:rsidRPr="00141770">
          <w:rPr>
            <w:rStyle w:val="Hyperlink"/>
          </w:rPr>
          <w:t>References/Bibliography</w:t>
        </w:r>
        <w:r>
          <w:rPr>
            <w:webHidden/>
          </w:rPr>
          <w:tab/>
        </w:r>
        <w:r>
          <w:rPr>
            <w:webHidden/>
          </w:rPr>
          <w:fldChar w:fldCharType="begin"/>
        </w:r>
        <w:r>
          <w:rPr>
            <w:webHidden/>
          </w:rPr>
          <w:instrText xml:space="preserve"> PAGEREF _Toc388442966 \h </w:instrText>
        </w:r>
        <w:r>
          <w:rPr>
            <w:webHidden/>
          </w:rPr>
        </w:r>
        <w:r>
          <w:rPr>
            <w:webHidden/>
          </w:rPr>
          <w:fldChar w:fldCharType="separate"/>
        </w:r>
        <w:r>
          <w:rPr>
            <w:webHidden/>
          </w:rPr>
          <w:t>37</w:t>
        </w:r>
        <w:r>
          <w:rPr>
            <w:webHidden/>
          </w:rPr>
          <w:fldChar w:fldCharType="end"/>
        </w:r>
      </w:hyperlink>
    </w:p>
    <w:p w14:paraId="4347B8BD" w14:textId="77777777" w:rsidR="00DF224A" w:rsidRDefault="00641A20">
      <w:pPr>
        <w:pStyle w:val="Body"/>
        <w:rPr>
          <w:rFonts w:ascii="Arial" w:hAnsi="Arial"/>
          <w:noProof/>
          <w:color w:val="auto"/>
        </w:rPr>
      </w:pPr>
      <w:r>
        <w:rPr>
          <w:rFonts w:ascii="Arial" w:hAnsi="Arial"/>
          <w:b/>
          <w:noProof/>
          <w:color w:val="auto"/>
        </w:rPr>
        <w:fldChar w:fldCharType="end"/>
      </w:r>
    </w:p>
    <w:p w14:paraId="749C1B12" w14:textId="77777777" w:rsidR="002F47E8" w:rsidRDefault="002F47E8">
      <w:pPr>
        <w:spacing w:before="0" w:line="240" w:lineRule="auto"/>
        <w:rPr>
          <w:rFonts w:ascii="Arial" w:hAnsi="Arial"/>
          <w:noProof/>
          <w:kern w:val="22"/>
        </w:rPr>
      </w:pPr>
      <w:bookmarkStart w:id="0" w:name="_Toc533302240"/>
      <w:r>
        <w:rPr>
          <w:b/>
          <w:noProof/>
          <w:kern w:val="22"/>
        </w:rPr>
        <w:br w:type="page"/>
      </w:r>
    </w:p>
    <w:p w14:paraId="4ACF5259" w14:textId="77777777" w:rsidR="00535FB1" w:rsidRDefault="00535FB1">
      <w:pPr>
        <w:spacing w:before="0" w:line="240" w:lineRule="auto"/>
        <w:rPr>
          <w:rFonts w:ascii="Arial" w:hAnsi="Arial"/>
          <w:b/>
          <w:kern w:val="40"/>
          <w:sz w:val="28"/>
          <w:szCs w:val="28"/>
        </w:rPr>
      </w:pPr>
      <w:r>
        <w:lastRenderedPageBreak/>
        <w:br w:type="page"/>
      </w:r>
    </w:p>
    <w:p w14:paraId="7AA2AADD" w14:textId="491F24B0" w:rsidR="00CF2A43" w:rsidRPr="00CF2A43" w:rsidRDefault="008F1365" w:rsidP="00EE4895">
      <w:pPr>
        <w:pStyle w:val="Heading1-nonum"/>
        <w:tabs>
          <w:tab w:val="clear" w:pos="2606"/>
          <w:tab w:val="left" w:pos="6204"/>
        </w:tabs>
      </w:pPr>
      <w:bookmarkStart w:id="1" w:name="_Toc388442941"/>
      <w:r>
        <w:lastRenderedPageBreak/>
        <w:t>Overview</w:t>
      </w:r>
      <w:bookmarkEnd w:id="1"/>
    </w:p>
    <w:p w14:paraId="5DED09AC" w14:textId="6E7C3556" w:rsidR="00C8222E" w:rsidRDefault="00C8222E" w:rsidP="008433C6">
      <w:pPr>
        <w:pStyle w:val="Body"/>
      </w:pPr>
      <w:r>
        <w:t xml:space="preserve">The course design assumption is that instructors will draw material from specific modules to complement their own material </w:t>
      </w:r>
      <w:r w:rsidR="00AA717B">
        <w:t xml:space="preserve">as well </w:t>
      </w:r>
      <w:r w:rsidR="00463877">
        <w:t xml:space="preserve">as </w:t>
      </w:r>
      <w:r w:rsidR="00AA717B">
        <w:t xml:space="preserve">to better </w:t>
      </w:r>
      <w:r>
        <w:t xml:space="preserve">match the backgrounds of the students in a class. The instructor’s guide </w:t>
      </w:r>
      <w:r w:rsidR="0040062D">
        <w:t>provides detailed information about</w:t>
      </w:r>
      <w:r>
        <w:t xml:space="preserve"> the examples used in lectures and on areas such as assurance cases</w:t>
      </w:r>
      <w:r w:rsidR="00463877">
        <w:t>.</w:t>
      </w:r>
      <w:r w:rsidR="0040062D">
        <w:t xml:space="preserve"> Much of the</w:t>
      </w:r>
      <w:r>
        <w:t xml:space="preserve"> material </w:t>
      </w:r>
      <w:r w:rsidR="0040062D">
        <w:t>in this guide was drawn from t</w:t>
      </w:r>
      <w:r>
        <w:t>wo SEI reports</w:t>
      </w:r>
      <w:r w:rsidR="0040062D">
        <w:t xml:space="preserve"> that are available at </w:t>
      </w:r>
      <w:hyperlink r:id="rId18" w:history="1">
        <w:r w:rsidR="0040062D" w:rsidRPr="00792FC3">
          <w:rPr>
            <w:rStyle w:val="Hyperlink"/>
          </w:rPr>
          <w:t>http://resources.sei.cmu.edu/library/</w:t>
        </w:r>
      </w:hyperlink>
    </w:p>
    <w:p w14:paraId="0C70B328" w14:textId="3F6E164D" w:rsidR="0040062D" w:rsidRDefault="0040062D" w:rsidP="0040062D">
      <w:pPr>
        <w:pStyle w:val="ListBulleted1"/>
      </w:pPr>
      <w:r>
        <w:t>Assuring Reliability, Robert Ellison</w:t>
      </w:r>
    </w:p>
    <w:p w14:paraId="5A95C9DD" w14:textId="62DC13C8" w:rsidR="0040062D" w:rsidRDefault="0040062D" w:rsidP="0040062D">
      <w:pPr>
        <w:pStyle w:val="ListBulleted1"/>
      </w:pPr>
      <w:r>
        <w:t xml:space="preserve">Quality and Software Assurance, </w:t>
      </w:r>
      <w:r w:rsidR="00D62D52">
        <w:t xml:space="preserve">Robert </w:t>
      </w:r>
      <w:r>
        <w:t xml:space="preserve">Ellison, </w:t>
      </w:r>
      <w:r w:rsidR="00D62D52">
        <w:t xml:space="preserve">William </w:t>
      </w:r>
      <w:r>
        <w:t xml:space="preserve">Nichols, and </w:t>
      </w:r>
      <w:r w:rsidR="00D62D52">
        <w:t xml:space="preserve">Carol </w:t>
      </w:r>
      <w:r>
        <w:t>Woody</w:t>
      </w:r>
    </w:p>
    <w:p w14:paraId="10D939CF" w14:textId="70598357" w:rsidR="00C97AE4" w:rsidRDefault="00C97AE4" w:rsidP="008433C6">
      <w:pPr>
        <w:pStyle w:val="Body"/>
      </w:pPr>
      <w:r>
        <w:t xml:space="preserve">The course is organized into content areas, called modules.  In most cases, a module represents a week of lectures.  Building competencies in the two key concepts, risk management and assurance case analysis, requires practice. </w:t>
      </w:r>
      <w:r w:rsidR="00EE4895">
        <w:t xml:space="preserve"> </w:t>
      </w:r>
      <w:r w:rsidR="00463877">
        <w:t xml:space="preserve">Reports on team projects </w:t>
      </w:r>
      <w:r w:rsidR="00EE4895">
        <w:t xml:space="preserve">or in-class </w:t>
      </w:r>
      <w:r w:rsidR="00463877">
        <w:t>development of examples are recommended for the weeks following the lectures on</w:t>
      </w:r>
      <w:r w:rsidR="00EE4895">
        <w:t xml:space="preserve"> risk management and assurance case analysis. </w:t>
      </w:r>
    </w:p>
    <w:p w14:paraId="7B236B9A" w14:textId="524FFC84" w:rsidR="00DA31F3" w:rsidRDefault="00DA31F3" w:rsidP="00DA31F3">
      <w:pPr>
        <w:pStyle w:val="Heading2-nonum"/>
      </w:pPr>
      <w:r>
        <w:t xml:space="preserve">Scope of Software Assurance </w:t>
      </w:r>
    </w:p>
    <w:p w14:paraId="633682E7" w14:textId="358B27F0" w:rsidR="00B45D19" w:rsidRDefault="00B45D19" w:rsidP="008433C6">
      <w:pPr>
        <w:pStyle w:val="Body"/>
      </w:pPr>
      <w:r>
        <w:t>The definition software assurance</w:t>
      </w:r>
      <w:r w:rsidR="00AA717B">
        <w:t xml:space="preserve"> </w:t>
      </w:r>
      <w:r>
        <w:t>in the</w:t>
      </w:r>
      <w:r w:rsidR="0040062D">
        <w:t xml:space="preserve"> </w:t>
      </w:r>
      <w:r w:rsidR="0040062D" w:rsidRPr="00B45D19">
        <w:rPr>
          <w:i/>
        </w:rPr>
        <w:t>Master of Software Assurance Reference Curriculum</w:t>
      </w:r>
      <w:r w:rsidR="0040062D">
        <w:t xml:space="preserve"> </w:t>
      </w:r>
      <w:r>
        <w:t xml:space="preserve">published in 2010 is </w:t>
      </w:r>
    </w:p>
    <w:p w14:paraId="6E46A19D" w14:textId="0BEBD2E0" w:rsidR="00B45D19" w:rsidRPr="003E5336" w:rsidRDefault="00B45D19" w:rsidP="00EF1CF9">
      <w:pPr>
        <w:pStyle w:val="Quotation"/>
      </w:pPr>
      <w:r>
        <w:rPr>
          <w:b/>
        </w:rPr>
        <w:t xml:space="preserve">Software </w:t>
      </w:r>
      <w:r w:rsidRPr="003E5336">
        <w:rPr>
          <w:b/>
        </w:rPr>
        <w:t xml:space="preserve">Assurance: </w:t>
      </w:r>
      <w:r>
        <w:t>Application of technologies and processes to achieve</w:t>
      </w:r>
      <w:r w:rsidR="0040062D">
        <w:t xml:space="preserve"> a required level of confidence</w:t>
      </w:r>
      <w:r>
        <w:t xml:space="preserve"> that software systems and services function in the intended manner, are free from accidental or intentional vulnerabilities, provide security capabilities appropriate to the threat environment, and recover from intrusions and failures.</w:t>
      </w:r>
    </w:p>
    <w:p w14:paraId="1A5948B2" w14:textId="2423C02D" w:rsidR="00B45D19" w:rsidRPr="00B45D19" w:rsidRDefault="00AA717B" w:rsidP="008433C6">
      <w:pPr>
        <w:pStyle w:val="Body"/>
      </w:pPr>
      <w:r>
        <w:t>T</w:t>
      </w:r>
      <w:r w:rsidR="00B45D19">
        <w:t xml:space="preserve">he scope of software assurance has evolved since 2010 when </w:t>
      </w:r>
      <w:r>
        <w:t xml:space="preserve">the curriculum </w:t>
      </w:r>
      <w:r w:rsidR="0040062D">
        <w:t>w</w:t>
      </w:r>
      <w:r w:rsidR="00B45D19">
        <w:t xml:space="preserve">as published. For example, many of the </w:t>
      </w:r>
      <w:r w:rsidR="0040062D">
        <w:t xml:space="preserve">assurance analysis </w:t>
      </w:r>
      <w:r>
        <w:t xml:space="preserve">techniques are </w:t>
      </w:r>
      <w:r w:rsidR="00B45D19">
        <w:t>applied to reliability and safety. To avoid confusion, this course uses an attribute-independent definition of software assurance</w:t>
      </w:r>
    </w:p>
    <w:p w14:paraId="6206A4A3" w14:textId="77777777" w:rsidR="003E5336" w:rsidRDefault="003E5336" w:rsidP="00EF1CF9">
      <w:pPr>
        <w:pStyle w:val="Quotation"/>
      </w:pPr>
      <w:r w:rsidRPr="00386AC9">
        <w:rPr>
          <w:b/>
        </w:rPr>
        <w:t>Software Assurance:</w:t>
      </w:r>
      <w:r>
        <w:t xml:space="preserve"> </w:t>
      </w:r>
      <w:r w:rsidRPr="00386AC9">
        <w:t>The application of technologies and processes to achieve a required level of confidence that software systems and services function in the intended manner.</w:t>
      </w:r>
    </w:p>
    <w:p w14:paraId="0A78BDB4" w14:textId="6F482E1B" w:rsidR="003E5336" w:rsidRPr="003E5336" w:rsidRDefault="00A165F3" w:rsidP="003E5336">
      <w:pPr>
        <w:pStyle w:val="Body"/>
      </w:pPr>
      <w:r>
        <w:t xml:space="preserve">and renames </w:t>
      </w:r>
      <w:r w:rsidR="00AA717B">
        <w:t xml:space="preserve">the </w:t>
      </w:r>
      <w:r>
        <w:t xml:space="preserve">reference curriculum definition as </w:t>
      </w:r>
    </w:p>
    <w:p w14:paraId="58542E11" w14:textId="64E9771B" w:rsidR="00DA31F3" w:rsidRDefault="003E5336" w:rsidP="00EF1CF9">
      <w:pPr>
        <w:pStyle w:val="Quotation"/>
      </w:pPr>
      <w:r w:rsidRPr="003E5336">
        <w:rPr>
          <w:b/>
        </w:rPr>
        <w:t xml:space="preserve">Security Assurance: </w:t>
      </w:r>
      <w:r>
        <w:t>Application of technologies and processes to achieve a required level of confidence3 that software systems and services function in the intended manner, are free from accidental or intentional vulnerabilities, provide security capabilities appropriate to the threat environment, and recover from intrusions and failures.</w:t>
      </w:r>
    </w:p>
    <w:p w14:paraId="7DF38097" w14:textId="4A51B97E" w:rsidR="00DA31F3" w:rsidRDefault="00DA31F3" w:rsidP="00DA31F3">
      <w:pPr>
        <w:pStyle w:val="Heading2-nonum"/>
      </w:pPr>
      <w:r>
        <w:t>Key Concepts</w:t>
      </w:r>
    </w:p>
    <w:p w14:paraId="6C97532C" w14:textId="59209D40" w:rsidR="001A2F63" w:rsidRDefault="001A2F63" w:rsidP="001A2F63">
      <w:pPr>
        <w:pStyle w:val="Heading3-nonum"/>
      </w:pPr>
      <w:r>
        <w:t>Risk Management</w:t>
      </w:r>
    </w:p>
    <w:p w14:paraId="7CFE3136" w14:textId="108E8550" w:rsidR="00897161" w:rsidRDefault="001A2F63" w:rsidP="001F5AE6">
      <w:pPr>
        <w:pStyle w:val="Body"/>
      </w:pPr>
      <w:r>
        <w:t>Risk management is an essential aspect of assurance management but the analysis techniques d</w:t>
      </w:r>
      <w:r>
        <w:t>e</w:t>
      </w:r>
      <w:r>
        <w:t xml:space="preserve">pend on the context. </w:t>
      </w:r>
      <w:r w:rsidR="001F5AE6">
        <w:t xml:space="preserve"> </w:t>
      </w:r>
    </w:p>
    <w:p w14:paraId="28985230" w14:textId="47207894" w:rsidR="00897161" w:rsidRDefault="00AA717B" w:rsidP="00897161">
      <w:pPr>
        <w:pStyle w:val="ListBulleted1"/>
      </w:pPr>
      <w:r>
        <w:lastRenderedPageBreak/>
        <w:t xml:space="preserve">What is </w:t>
      </w:r>
      <w:r w:rsidR="001A2F63">
        <w:t xml:space="preserve">the </w:t>
      </w:r>
      <w:r w:rsidR="00897161">
        <w:t>role</w:t>
      </w:r>
      <w:r w:rsidR="0040062D">
        <w:t xml:space="preserve"> of the </w:t>
      </w:r>
      <w:r>
        <w:t xml:space="preserve">risk assessor </w:t>
      </w:r>
      <w:r w:rsidR="00897161">
        <w:t xml:space="preserve">in </w:t>
      </w:r>
      <w:r w:rsidR="0040062D">
        <w:t xml:space="preserve">the </w:t>
      </w:r>
      <w:r>
        <w:t>supply chain?</w:t>
      </w:r>
      <w:r w:rsidR="00897161">
        <w:t xml:space="preserve"> </w:t>
      </w:r>
      <w:r w:rsidR="0040062D">
        <w:t>Is the</w:t>
      </w:r>
      <w:r w:rsidR="001A2F63">
        <w:t xml:space="preserve"> organization </w:t>
      </w:r>
      <w:r w:rsidR="001F5AE6">
        <w:t>supplying or acquiring softwa</w:t>
      </w:r>
      <w:r w:rsidR="00897161">
        <w:t>re</w:t>
      </w:r>
      <w:r w:rsidR="0040062D">
        <w:t>?</w:t>
      </w:r>
    </w:p>
    <w:p w14:paraId="331783DB" w14:textId="2EE38BD6" w:rsidR="001F5AE6" w:rsidRDefault="00AA717B" w:rsidP="00897161">
      <w:pPr>
        <w:pStyle w:val="ListBulleted1"/>
      </w:pPr>
      <w:r>
        <w:t>What is the scope of the analysis?</w:t>
      </w:r>
      <w:r w:rsidR="0040062D">
        <w:t xml:space="preserve"> Is the risk analysis being applied to</w:t>
      </w:r>
      <w:r>
        <w:t xml:space="preserve"> a</w:t>
      </w:r>
      <w:r w:rsidR="0040062D">
        <w:t xml:space="preserve"> software applica</w:t>
      </w:r>
      <w:r>
        <w:t>tion</w:t>
      </w:r>
      <w:r w:rsidR="0040062D">
        <w:t xml:space="preserve">, to </w:t>
      </w:r>
      <w:r>
        <w:t xml:space="preserve">a </w:t>
      </w:r>
      <w:r w:rsidR="0040062D">
        <w:t>sys</w:t>
      </w:r>
      <w:r>
        <w:t>tem</w:t>
      </w:r>
      <w:r w:rsidR="0040062D">
        <w:t>, to system of systems, or to an enterprise?</w:t>
      </w:r>
    </w:p>
    <w:p w14:paraId="73305ED0" w14:textId="223885A9" w:rsidR="00897161" w:rsidRDefault="003D7909" w:rsidP="00897161">
      <w:pPr>
        <w:pStyle w:val="Body"/>
      </w:pPr>
      <w:r>
        <w:t xml:space="preserve">Module 2 </w:t>
      </w:r>
      <w:r w:rsidR="00AA717B">
        <w:t xml:space="preserve">provides an introduction to risk management and </w:t>
      </w:r>
      <w:r>
        <w:t>uses threat modeling as</w:t>
      </w:r>
      <w:r w:rsidR="00897161">
        <w:t xml:space="preserve"> an example </w:t>
      </w:r>
      <w:r>
        <w:t xml:space="preserve">of incorporating </w:t>
      </w:r>
      <w:r w:rsidR="00897161">
        <w:t xml:space="preserve">risk management </w:t>
      </w:r>
      <w:r w:rsidR="00AA717B">
        <w:t>into a software development lifecycle.</w:t>
      </w:r>
      <w:r>
        <w:t xml:space="preserve">  Module </w:t>
      </w:r>
      <w:r w:rsidR="00AA717B">
        <w:t>3 introduces a general risk management framework.</w:t>
      </w:r>
      <w:r w:rsidR="00207375">
        <w:t xml:space="preserve">  </w:t>
      </w:r>
    </w:p>
    <w:p w14:paraId="29804360" w14:textId="62E8DFB4" w:rsidR="00282EAD" w:rsidRDefault="00AA717B" w:rsidP="001F5AE6">
      <w:pPr>
        <w:pStyle w:val="Body"/>
      </w:pPr>
      <w:r>
        <w:t>Determ</w:t>
      </w:r>
      <w:r w:rsidR="00FA27E5">
        <w:t>in</w:t>
      </w:r>
      <w:r>
        <w:t xml:space="preserve">ing the </w:t>
      </w:r>
      <w:r w:rsidR="003D7909">
        <w:t xml:space="preserve">scope </w:t>
      </w:r>
      <w:r>
        <w:t>of</w:t>
      </w:r>
      <w:r w:rsidR="003D7909">
        <w:t xml:space="preserve"> risk management </w:t>
      </w:r>
      <w:r w:rsidR="00311D1D">
        <w:t>depend</w:t>
      </w:r>
      <w:r w:rsidR="00463877">
        <w:t>s</w:t>
      </w:r>
      <w:r>
        <w:t xml:space="preserve"> </w:t>
      </w:r>
      <w:r w:rsidR="00FA27E5">
        <w:t xml:space="preserve">on </w:t>
      </w:r>
      <w:r w:rsidR="00311D1D">
        <w:t>w</w:t>
      </w:r>
      <w:r w:rsidR="00463877">
        <w:t>hich risks</w:t>
      </w:r>
      <w:r w:rsidR="003D7909">
        <w:t xml:space="preserve"> can be </w:t>
      </w:r>
      <w:r w:rsidR="00207375">
        <w:t>realistically controll</w:t>
      </w:r>
      <w:r w:rsidR="00282EAD">
        <w:t xml:space="preserve">ed. Large systems increasingly integrate commercial software with unknown software weaknesses. </w:t>
      </w:r>
      <w:r w:rsidR="001A2F63">
        <w:t xml:space="preserve">Threats and mitigations are increasingly difficult to identify as </w:t>
      </w:r>
      <w:r w:rsidR="00282EAD">
        <w:t>work process</w:t>
      </w:r>
      <w:r w:rsidR="00463877">
        <w:t>es</w:t>
      </w:r>
      <w:r w:rsidR="00282EAD">
        <w:t xml:space="preserve"> flow among mult</w:t>
      </w:r>
      <w:r w:rsidR="00282EAD">
        <w:t>i</w:t>
      </w:r>
      <w:r w:rsidR="00282EAD">
        <w:t>ple organizations.  Some of these issues are discussed in Module 9.</w:t>
      </w:r>
    </w:p>
    <w:p w14:paraId="3A2E94CE" w14:textId="0A904CA7" w:rsidR="001A2F63" w:rsidRDefault="003D7909" w:rsidP="001A2F63">
      <w:pPr>
        <w:pStyle w:val="Heading3-nonum"/>
      </w:pPr>
      <w:r>
        <w:t>Assurance Case: Justify</w:t>
      </w:r>
      <w:r w:rsidR="000B3250">
        <w:t xml:space="preserve"> the </w:t>
      </w:r>
      <w:r w:rsidR="00D62D52">
        <w:t>E</w:t>
      </w:r>
      <w:r w:rsidR="000B3250">
        <w:t xml:space="preserve">ngineering </w:t>
      </w:r>
    </w:p>
    <w:p w14:paraId="4674E084" w14:textId="4A581A28" w:rsidR="000976BE" w:rsidRDefault="00056813" w:rsidP="001A2F63">
      <w:pPr>
        <w:pStyle w:val="Body"/>
      </w:pPr>
      <w:r>
        <w:t xml:space="preserve">The outline for the Assurance Management Course in the </w:t>
      </w:r>
      <w:r w:rsidRPr="00056813">
        <w:t>Volume III: Master of Software Assu</w:t>
      </w:r>
      <w:r w:rsidRPr="00056813">
        <w:t>r</w:t>
      </w:r>
      <w:r w:rsidRPr="00056813">
        <w:t>ance Course Syllabi</w:t>
      </w:r>
      <w:r w:rsidR="00F7551C">
        <w:t xml:space="preserve"> (Course Syllabi)</w:t>
      </w:r>
      <w:r>
        <w:t xml:space="preserve"> refers several times to establishing and meeting “Targeted Level of Trust”.</w:t>
      </w:r>
      <w:r w:rsidR="000976BE">
        <w:t xml:space="preserve"> The same expression appears in the ISO 27034 standard on application security. The expression “Targeted Level of Trust can be interpreted as phrase “the desired level of conf</w:t>
      </w:r>
      <w:r w:rsidR="000976BE">
        <w:t>i</w:t>
      </w:r>
      <w:r w:rsidR="000976BE">
        <w:t xml:space="preserve">dence” that appears in the definition of software assurance. </w:t>
      </w:r>
    </w:p>
    <w:p w14:paraId="762217FF" w14:textId="132FA716" w:rsidR="000976BE" w:rsidRDefault="000976BE" w:rsidP="001A2F63">
      <w:pPr>
        <w:pStyle w:val="Body"/>
      </w:pPr>
      <w:r w:rsidRPr="00F70735">
        <w:t>The feasibility of achieving high assurance for a particular system is strongly influenced by early engineering choices. In particular, assessing assurance as a system is being developed had a high potential for improving the overall assurance of systems</w:t>
      </w:r>
      <w:r>
        <w:rPr>
          <w:rStyle w:val="FootnoteReference"/>
        </w:rPr>
        <w:footnoteReference w:id="1"/>
      </w:r>
      <w:r w:rsidRPr="00F70735">
        <w:t>.</w:t>
      </w:r>
      <w:r>
        <w:t xml:space="preserve"> </w:t>
      </w:r>
    </w:p>
    <w:p w14:paraId="0A9F4036" w14:textId="2CDBFDFF" w:rsidR="003D7909" w:rsidRDefault="001B2F73" w:rsidP="001A2F63">
      <w:pPr>
        <w:pStyle w:val="Body"/>
      </w:pPr>
      <w:r w:rsidRPr="009E7245">
        <w:t>Several studies of safety-critical systems show that while 70 percent of errors in embedded safety-critical software are introduced in the requirements and architecture design phases</w:t>
      </w:r>
      <w:r>
        <w:t>.</w:t>
      </w:r>
      <w:r w:rsidRPr="009E7245">
        <w:t xml:space="preserve"> </w:t>
      </w:r>
      <w:r>
        <w:t>80 percent of all errors were</w:t>
      </w:r>
      <w:r w:rsidRPr="009E7245">
        <w:t xml:space="preserve"> only found at system int</w:t>
      </w:r>
      <w:r>
        <w:t>egra</w:t>
      </w:r>
      <w:r w:rsidR="00311D1D">
        <w:t>tion or later [Feiler 2012].</w:t>
      </w:r>
      <w:r>
        <w:t xml:space="preserve"> The development model was a series of builds and tests. </w:t>
      </w:r>
      <w:r w:rsidR="003D0330">
        <w:t xml:space="preserve">Defect removal was at the end of the lifecycle. </w:t>
      </w:r>
    </w:p>
    <w:p w14:paraId="347BECC9" w14:textId="4921C240" w:rsidR="00147F35" w:rsidRDefault="00643E6C" w:rsidP="001A2F63">
      <w:pPr>
        <w:pStyle w:val="Body"/>
      </w:pPr>
      <w:r>
        <w:t xml:space="preserve">A key point is that </w:t>
      </w:r>
      <w:r w:rsidR="005C27D1">
        <w:t>an evaluation of</w:t>
      </w:r>
      <w:r>
        <w:t xml:space="preserve"> engineering decisions is not an evaluation of how those eng</w:t>
      </w:r>
      <w:r>
        <w:t>i</w:t>
      </w:r>
      <w:r>
        <w:t>neering decisions are made, i.e. not an evaluation of the development practices and life cycle pr</w:t>
      </w:r>
      <w:r>
        <w:t>o</w:t>
      </w:r>
      <w:r>
        <w:t>cess</w:t>
      </w:r>
      <w:r w:rsidR="005C27D1">
        <w:t xml:space="preserve">es </w:t>
      </w:r>
      <w:r>
        <w:t>but rather an evaluation of the effecti</w:t>
      </w:r>
      <w:r w:rsidR="00F303DB">
        <w:t>veness of the</w:t>
      </w:r>
      <w:r>
        <w:t xml:space="preserve"> </w:t>
      </w:r>
      <w:r w:rsidR="00F303DB">
        <w:t>engineering</w:t>
      </w:r>
      <w:r w:rsidR="00311D1D">
        <w:t xml:space="preserve"> </w:t>
      </w:r>
      <w:r w:rsidR="000976BE">
        <w:t xml:space="preserve">methods </w:t>
      </w:r>
      <w:r w:rsidR="00311D1D">
        <w:t>used to mitigate</w:t>
      </w:r>
      <w:r>
        <w:t xml:space="preserve"> the identi</w:t>
      </w:r>
      <w:r w:rsidR="000976BE">
        <w:t xml:space="preserve">fied risks, i.e. an evaluation of what was done and how well it was done. </w:t>
      </w:r>
      <w:r>
        <w:t xml:space="preserve"> </w:t>
      </w:r>
      <w:r w:rsidR="00311D1D">
        <w:t>Module 4 i</w:t>
      </w:r>
      <w:r w:rsidR="00311D1D">
        <w:t>n</w:t>
      </w:r>
      <w:r w:rsidR="00311D1D">
        <w:t xml:space="preserve">troduces the </w:t>
      </w:r>
      <w:r w:rsidR="00605A64">
        <w:t>assurance case</w:t>
      </w:r>
      <w:r w:rsidR="00311D1D">
        <w:t xml:space="preserve"> which</w:t>
      </w:r>
      <w:r w:rsidR="00605A64">
        <w:t xml:space="preserve"> provides a concise way and understandable way to document and justify those engineering decisions.</w:t>
      </w:r>
      <w:r w:rsidR="000F2189">
        <w:t xml:space="preserve"> </w:t>
      </w:r>
      <w:r w:rsidR="00147F35">
        <w:t xml:space="preserve">Guidance on writing an assurance case is provided by Module 5. </w:t>
      </w:r>
      <w:r w:rsidR="00F7551C">
        <w:t>The Open Group work real-time reliability for embedded systems is based on the co</w:t>
      </w:r>
      <w:r w:rsidR="00F7551C">
        <w:t>n</w:t>
      </w:r>
      <w:r w:rsidR="00F7551C">
        <w:t xml:space="preserve">cept of an assurance case. </w:t>
      </w:r>
    </w:p>
    <w:p w14:paraId="20015102" w14:textId="094CB110" w:rsidR="000F2189" w:rsidRDefault="009423B9" w:rsidP="000F2189">
      <w:pPr>
        <w:pStyle w:val="Body"/>
      </w:pPr>
      <w:r>
        <w:t>Among the system at</w:t>
      </w:r>
      <w:r w:rsidR="00463877">
        <w:t>tributes, security assurance may</w:t>
      </w:r>
      <w:r>
        <w:t xml:space="preserve"> be one of the most ch</w:t>
      </w:r>
      <w:r w:rsidR="00824DD0">
        <w:t xml:space="preserve">allenging to achieve. Security has to deal with </w:t>
      </w:r>
      <w:r>
        <w:t>active agent</w:t>
      </w:r>
      <w:r w:rsidR="003D0330">
        <w:t>s</w:t>
      </w:r>
      <w:r>
        <w:t xml:space="preserve"> who can dynamically adjust an attack based the defenses fo</w:t>
      </w:r>
      <w:r w:rsidR="003D0330">
        <w:t>und.  Assurance problems for most</w:t>
      </w:r>
      <w:r>
        <w:t xml:space="preserve"> of the system attributes </w:t>
      </w:r>
      <w:r w:rsidR="003D0330">
        <w:t>such as reliability arise</w:t>
      </w:r>
      <w:r>
        <w:t xml:space="preserve"> in requir</w:t>
      </w:r>
      <w:r>
        <w:t>e</w:t>
      </w:r>
      <w:r>
        <w:t xml:space="preserve">ments or design. </w:t>
      </w:r>
      <w:r w:rsidR="00463877">
        <w:t xml:space="preserve">But </w:t>
      </w:r>
      <w:r>
        <w:t xml:space="preserve">security </w:t>
      </w:r>
      <w:r w:rsidR="003D0330">
        <w:t xml:space="preserve">assurance </w:t>
      </w:r>
      <w:r>
        <w:t xml:space="preserve">is also affected by implementation defects </w:t>
      </w:r>
      <w:r w:rsidR="00824DD0">
        <w:t>in a detailed design or cod</w:t>
      </w:r>
      <w:r w:rsidR="00463877">
        <w:t>ing</w:t>
      </w:r>
      <w:r w:rsidR="0045144A">
        <w:t>.</w:t>
      </w:r>
      <w:r w:rsidR="00396558">
        <w:t xml:space="preserve">  The latter class of defects may not need the formalism</w:t>
      </w:r>
      <w:r w:rsidR="000F2189">
        <w:t xml:space="preserve"> provided by an </w:t>
      </w:r>
      <w:r w:rsidR="00396558">
        <w:t>assu</w:t>
      </w:r>
      <w:r w:rsidR="00396558">
        <w:t>r</w:t>
      </w:r>
      <w:r w:rsidR="00396558">
        <w:lastRenderedPageBreak/>
        <w:t>ance case and can be sufficiently mitigated with training, static analysis and coding stand</w:t>
      </w:r>
      <w:r w:rsidR="00463877">
        <w:t>ards, but as instances of the latter class of defects are reduced, assurance based on engineering analysis will increase in importance. A key aspect of Microsoft’s Security Development Lifecycle is</w:t>
      </w:r>
      <w:r w:rsidR="0045144A">
        <w:t xml:space="preserve"> using threat modeling to</w:t>
      </w:r>
      <w:r w:rsidR="00463877">
        <w:t xml:space="preserve"> identify and mi</w:t>
      </w:r>
      <w:r w:rsidR="0045144A">
        <w:t>tigate defects during design.</w:t>
      </w:r>
    </w:p>
    <w:p w14:paraId="3D8EBCFF" w14:textId="3988D6DC" w:rsidR="000F2189" w:rsidRDefault="00CD38FF" w:rsidP="009423B9">
      <w:pPr>
        <w:pStyle w:val="Body"/>
      </w:pPr>
      <w:r>
        <w:t>Security assurance cases</w:t>
      </w:r>
      <w:r w:rsidR="000F2189">
        <w:t xml:space="preserve"> can</w:t>
      </w:r>
      <w:r>
        <w:t xml:space="preserve"> be </w:t>
      </w:r>
      <w:r w:rsidR="000F2189">
        <w:t>difficult</w:t>
      </w:r>
      <w:r w:rsidR="000976BE">
        <w:t xml:space="preserve"> to</w:t>
      </w:r>
      <w:r w:rsidR="000F2189">
        <w:t xml:space="preserve"> write. </w:t>
      </w:r>
      <w:r>
        <w:t xml:space="preserve">Limit the scope of any assurance case exercises and examples. </w:t>
      </w:r>
      <w:r w:rsidR="000F2189">
        <w:t xml:space="preserve">The problem is not </w:t>
      </w:r>
      <w:r w:rsidR="00463877">
        <w:t>with the assurance case format but that w</w:t>
      </w:r>
      <w:r w:rsidR="000F2189">
        <w:t>rit</w:t>
      </w:r>
      <w:r w:rsidR="00C70A70">
        <w:t xml:space="preserve">ing an assurance case </w:t>
      </w:r>
      <w:r w:rsidR="000F2189">
        <w:t>exposes the complexity of the security</w:t>
      </w:r>
      <w:r>
        <w:t xml:space="preserve"> issues and the ar</w:t>
      </w:r>
      <w:r w:rsidR="00C70A70">
        <w:t xml:space="preserve">eas where our </w:t>
      </w:r>
      <w:r w:rsidR="000976BE">
        <w:t>analysis techniques are weak.</w:t>
      </w:r>
    </w:p>
    <w:p w14:paraId="51A775E9" w14:textId="6E418B62" w:rsidR="000976BE" w:rsidRDefault="004A3A63" w:rsidP="000976BE">
      <w:pPr>
        <w:pStyle w:val="Heading3-nonum"/>
      </w:pPr>
      <w:r>
        <w:t xml:space="preserve">Additional </w:t>
      </w:r>
      <w:r w:rsidR="000976BE">
        <w:t>Sources</w:t>
      </w:r>
    </w:p>
    <w:p w14:paraId="1C1FAFB4" w14:textId="68FCAE81" w:rsidR="000976BE" w:rsidRPr="000976BE" w:rsidRDefault="00F7551C" w:rsidP="000976BE">
      <w:pPr>
        <w:pStyle w:val="Body"/>
      </w:pPr>
      <w:r>
        <w:t xml:space="preserve">The </w:t>
      </w:r>
      <w:r w:rsidRPr="00F7551C">
        <w:t>Course Syllabi</w:t>
      </w:r>
      <w:r>
        <w:t xml:space="preserve"> lists</w:t>
      </w:r>
      <w:r w:rsidR="004A3A63">
        <w:t xml:space="preserve"> a number of</w:t>
      </w:r>
      <w:r>
        <w:t xml:space="preserve"> sources for th</w:t>
      </w:r>
      <w:r w:rsidR="004A3A63">
        <w:t>e course. Among those referenced</w:t>
      </w:r>
      <w:r>
        <w:t>, the follo</w:t>
      </w:r>
      <w:r>
        <w:t>w</w:t>
      </w:r>
      <w:r>
        <w:t xml:space="preserve">ing one </w:t>
      </w:r>
      <w:r w:rsidR="004A3A63">
        <w:t xml:space="preserve">provides coverage of assurance include assurance cases. </w:t>
      </w:r>
    </w:p>
    <w:p w14:paraId="28B80FE6" w14:textId="5F8DFE46" w:rsidR="00056813" w:rsidRDefault="00056813" w:rsidP="00F7551C">
      <w:pPr>
        <w:pStyle w:val="ListMultilist1"/>
      </w:pPr>
      <w:r w:rsidRPr="002D335B">
        <w:t>Mansourov</w:t>
      </w:r>
      <w:r>
        <w:t xml:space="preserve">, Nicolai &amp; Campara, Djenana. </w:t>
      </w:r>
      <w:r>
        <w:rPr>
          <w:i/>
        </w:rPr>
        <w:t>System Assurance: Beyond Detecting Vulnerabil</w:t>
      </w:r>
      <w:r>
        <w:rPr>
          <w:i/>
        </w:rPr>
        <w:t>i</w:t>
      </w:r>
      <w:r>
        <w:rPr>
          <w:i/>
        </w:rPr>
        <w:t xml:space="preserve">ties. </w:t>
      </w:r>
      <w:r>
        <w:t xml:space="preserve">Elsevier, 2011. </w:t>
      </w:r>
    </w:p>
    <w:p w14:paraId="3FC1232C" w14:textId="77777777" w:rsidR="004A3A63" w:rsidRDefault="004A3A63" w:rsidP="004A3A63">
      <w:pPr>
        <w:pStyle w:val="Body"/>
      </w:pPr>
      <w:r>
        <w:t>The ISO 27034 standard on application s</w:t>
      </w:r>
      <w:r w:rsidR="00F3707D">
        <w:t>ecurity</w:t>
      </w:r>
      <w:r w:rsidR="005C27D1">
        <w:t xml:space="preserve"> is </w:t>
      </w:r>
      <w:r>
        <w:t xml:space="preserve">underdevelopment. The content may be too general for use in the course. </w:t>
      </w:r>
    </w:p>
    <w:p w14:paraId="09143698" w14:textId="677F1A0B" w:rsidR="009F1A26" w:rsidRDefault="009F1A26" w:rsidP="009F1A26">
      <w:pPr>
        <w:pStyle w:val="Body"/>
      </w:pPr>
      <w:r>
        <w:t>The following standard applies assurance case analysis to real-time embedded systems.</w:t>
      </w:r>
    </w:p>
    <w:p w14:paraId="0F2212A5" w14:textId="77777777" w:rsidR="009F1A26" w:rsidRDefault="004A3A63" w:rsidP="009F1A26">
      <w:pPr>
        <w:pStyle w:val="ListMultilist1"/>
      </w:pPr>
      <w:r>
        <w:t xml:space="preserve">Open Group, </w:t>
      </w:r>
      <w:r w:rsidRPr="004A3A63">
        <w:t>Dependability through Assuredness ™ Standard</w:t>
      </w:r>
      <w:r>
        <w:t xml:space="preserve">, </w:t>
      </w:r>
      <w:hyperlink r:id="rId19" w:history="1">
        <w:r w:rsidRPr="009F3742">
          <w:rPr>
            <w:rStyle w:val="Hyperlink"/>
          </w:rPr>
          <w:t>http://www.opengroup.org/news/press/open-group-releases-dependability-through-assuredness-%E2%84%A2-standar</w:t>
        </w:r>
      </w:hyperlink>
      <w:r>
        <w:t xml:space="preserve">. </w:t>
      </w:r>
    </w:p>
    <w:p w14:paraId="64DD6702" w14:textId="793154DA" w:rsidR="00497008" w:rsidRDefault="00497008" w:rsidP="00497008">
      <w:pPr>
        <w:pStyle w:val="Heading1-nonum"/>
      </w:pPr>
      <w:bookmarkStart w:id="2" w:name="_Toc388442942"/>
      <w:bookmarkEnd w:id="0"/>
      <w:r>
        <w:lastRenderedPageBreak/>
        <w:t>Project</w:t>
      </w:r>
      <w:r w:rsidR="00C1081B">
        <w:t xml:space="preserve"> and Exercises</w:t>
      </w:r>
      <w:bookmarkEnd w:id="2"/>
    </w:p>
    <w:p w14:paraId="1CC5B3F6" w14:textId="68B7DD38" w:rsidR="00497008" w:rsidRDefault="00497008" w:rsidP="00497008">
      <w:pPr>
        <w:pStyle w:val="Body"/>
      </w:pPr>
      <w:r>
        <w:t xml:space="preserve">Writing a business case is a very good topic area for the assurance management course. Projects could individually done or be group efforts. BSIMM can be a source for a wide-range of business cases targeting project </w:t>
      </w:r>
      <w:r w:rsidR="00C1081B">
        <w:t xml:space="preserve">and technical </w:t>
      </w:r>
      <w:r>
        <w:t xml:space="preserve">management to corporate management. </w:t>
      </w:r>
      <w:r w:rsidR="00C1081B">
        <w:t xml:space="preserve"> For example, a</w:t>
      </w:r>
      <w:r>
        <w:t xml:space="preserve"> bus</w:t>
      </w:r>
      <w:r>
        <w:t>i</w:t>
      </w:r>
      <w:r>
        <w:t>ness case could be written for obtaining an Open Group certification or for why a software deve</w:t>
      </w:r>
      <w:r>
        <w:t>l</w:t>
      </w:r>
      <w:r>
        <w:t xml:space="preserve">opment organization </w:t>
      </w:r>
      <w:r w:rsidR="00C1081B">
        <w:t xml:space="preserve">should </w:t>
      </w:r>
      <w:r>
        <w:t>add security capabiliti</w:t>
      </w:r>
      <w:r w:rsidR="00C1081B">
        <w:t>es beyond doing static analysis or why security analysis beyond that provided by using the CISQ Quality Rules for security is needed for a speci</w:t>
      </w:r>
      <w:r w:rsidR="00C1081B">
        <w:t>f</w:t>
      </w:r>
      <w:r w:rsidR="00C1081B">
        <w:t xml:space="preserve">ic development. </w:t>
      </w:r>
    </w:p>
    <w:p w14:paraId="0EC53669" w14:textId="5DA318B4" w:rsidR="00C1081B" w:rsidRDefault="00497008" w:rsidP="00497008">
      <w:pPr>
        <w:pStyle w:val="Body"/>
      </w:pPr>
      <w:r>
        <w:t xml:space="preserve">Business cases </w:t>
      </w:r>
      <w:r w:rsidR="00C1081B">
        <w:t xml:space="preserve">can be introduced after the risk management lectures as doing a risk assessment typically requires some kind of business justification. </w:t>
      </w:r>
    </w:p>
    <w:p w14:paraId="67959DFC" w14:textId="38412092" w:rsidR="00497008" w:rsidRDefault="00F637FA" w:rsidP="00497008">
      <w:pPr>
        <w:pStyle w:val="Body"/>
      </w:pPr>
      <w:r>
        <w:t xml:space="preserve">Students should </w:t>
      </w:r>
      <w:r w:rsidR="00497008">
        <w:t>consult sources such as the articles on “</w:t>
      </w:r>
      <w:r w:rsidR="00497008" w:rsidRPr="00FD3DE8">
        <w:t>Making the Business Case for Software Assurance</w:t>
      </w:r>
      <w:r w:rsidR="00497008">
        <w:t>” on the DHS Build Security In Web site.</w:t>
      </w:r>
    </w:p>
    <w:p w14:paraId="71DAC088" w14:textId="77777777" w:rsidR="00497008" w:rsidRDefault="00EF1CF9" w:rsidP="00497008">
      <w:pPr>
        <w:pStyle w:val="ListMultilist1"/>
      </w:pPr>
      <w:hyperlink r:id="rId20" w:history="1">
        <w:r w:rsidR="00497008" w:rsidRPr="00263A6B">
          <w:rPr>
            <w:rStyle w:val="Hyperlink"/>
          </w:rPr>
          <w:t>https://buildsecurityin.us-cert.gov/articles/knowledge/business-case-models</w:t>
        </w:r>
      </w:hyperlink>
    </w:p>
    <w:p w14:paraId="70192880" w14:textId="3C447144" w:rsidR="00497008" w:rsidRDefault="00F637FA" w:rsidP="00497008">
      <w:pPr>
        <w:pStyle w:val="Body"/>
      </w:pPr>
      <w:r>
        <w:t>An SEI report is also available which combines the materials on the DHS web site.</w:t>
      </w:r>
    </w:p>
    <w:p w14:paraId="1033A386" w14:textId="77777777" w:rsidR="00497008" w:rsidRDefault="00497008" w:rsidP="00497008">
      <w:pPr>
        <w:pStyle w:val="ListMultilist1"/>
      </w:pPr>
      <w:r>
        <w:t>“</w:t>
      </w:r>
      <w:r w:rsidRPr="007547B2">
        <w:t>Making the Business Case for Software Assurance</w:t>
      </w:r>
      <w:r>
        <w:t xml:space="preserve">,” </w:t>
      </w:r>
      <w:hyperlink r:id="rId21" w:history="1">
        <w:r w:rsidRPr="00263A6B">
          <w:rPr>
            <w:rStyle w:val="Hyperlink"/>
          </w:rPr>
          <w:t>http://resources.sei.cmu.edu/library/asset-view.cfm?assetid=8831</w:t>
        </w:r>
      </w:hyperlink>
    </w:p>
    <w:p w14:paraId="4347B8CD" w14:textId="1B310BEA" w:rsidR="00DF224A" w:rsidRDefault="008F1365" w:rsidP="005C13BE">
      <w:pPr>
        <w:pStyle w:val="Heading1-nonum"/>
      </w:pPr>
      <w:bookmarkStart w:id="3" w:name="_Toc388442943"/>
      <w:r>
        <w:lastRenderedPageBreak/>
        <w:t>Schedule</w:t>
      </w:r>
      <w:bookmarkEnd w:id="3"/>
    </w:p>
    <w:p w14:paraId="35FFF67E" w14:textId="458906F9" w:rsidR="00CD38FF" w:rsidRDefault="00E91EBC" w:rsidP="00E91EBC">
      <w:pPr>
        <w:pStyle w:val="Body"/>
      </w:pPr>
      <w:r>
        <w:t xml:space="preserve">The pace of this course is very dependent on the background of the students. </w:t>
      </w:r>
      <w:r w:rsidR="00CD38FF">
        <w:t>The ability of a st</w:t>
      </w:r>
      <w:r w:rsidR="00CD38FF">
        <w:t>u</w:t>
      </w:r>
      <w:r w:rsidR="00C70A70">
        <w:t>dent to do</w:t>
      </w:r>
      <w:r w:rsidR="00CD38FF">
        <w:t xml:space="preserve"> risk analysis or to analyze</w:t>
      </w:r>
      <w:r w:rsidR="00C70A70">
        <w:t>/develop</w:t>
      </w:r>
      <w:r w:rsidR="00CD38FF">
        <w:t xml:space="preserve"> the engineering justification</w:t>
      </w:r>
      <w:r w:rsidR="00C70A70">
        <w:t>s</w:t>
      </w:r>
      <w:r w:rsidR="00CD38FF">
        <w:t xml:space="preserve"> described in an assu</w:t>
      </w:r>
      <w:r w:rsidR="00CD38FF">
        <w:t>r</w:t>
      </w:r>
      <w:r w:rsidR="00CD38FF">
        <w:t xml:space="preserve">ance </w:t>
      </w:r>
      <w:r w:rsidR="0045144A">
        <w:t>case for</w:t>
      </w:r>
      <w:r w:rsidR="00CD38FF">
        <w:t xml:space="preserve"> a system attribute depends on </w:t>
      </w:r>
      <w:r w:rsidR="00D50764">
        <w:t xml:space="preserve">the extent of the </w:t>
      </w:r>
      <w:r w:rsidR="00CD38FF">
        <w:t xml:space="preserve">exposure to the kinds </w:t>
      </w:r>
      <w:r w:rsidR="0045144A">
        <w:t>of security</w:t>
      </w:r>
      <w:r w:rsidR="00CD38FF">
        <w:t xml:space="preserve"> d</w:t>
      </w:r>
      <w:r w:rsidR="00CD38FF">
        <w:t>e</w:t>
      </w:r>
      <w:r w:rsidR="00CD38FF">
        <w:t>fects that can arise during development and operations</w:t>
      </w:r>
      <w:r w:rsidR="00D50764">
        <w:t>,</w:t>
      </w:r>
      <w:r w:rsidR="00CD38FF">
        <w:t xml:space="preserve"> the potential consequences of such defects on business work pro</w:t>
      </w:r>
      <w:r w:rsidR="00D50764">
        <w:t xml:space="preserve">cesses, and the engineering options available. </w:t>
      </w:r>
    </w:p>
    <w:p w14:paraId="6C2AE215" w14:textId="27A2FAA4" w:rsidR="00D50764" w:rsidRDefault="00C70A70" w:rsidP="00D50764">
      <w:pPr>
        <w:pStyle w:val="Body"/>
      </w:pPr>
      <w:r>
        <w:t xml:space="preserve">The student needs vary. </w:t>
      </w:r>
      <w:r w:rsidR="00D50764">
        <w:t xml:space="preserve">Some personnel with roles in assurance management </w:t>
      </w:r>
      <w:r>
        <w:t>will not have t</w:t>
      </w:r>
      <w:r w:rsidR="00D50764">
        <w:t>o do detailed risk assessments or develop specific assurance cases. On the other hand, those with tec</w:t>
      </w:r>
      <w:r w:rsidR="00D50764">
        <w:t>h</w:t>
      </w:r>
      <w:r w:rsidR="00D50764">
        <w:t>nical management responsibilities may have to provide the technical lead</w:t>
      </w:r>
      <w:r>
        <w:t>ership</w:t>
      </w:r>
      <w:r w:rsidR="00D50764">
        <w:t xml:space="preserve"> for those efforts and monitor the quality of the effort. </w:t>
      </w:r>
    </w:p>
    <w:p w14:paraId="23812FEC" w14:textId="6676EDD9" w:rsidR="00E91EBC" w:rsidRPr="00E91EBC" w:rsidRDefault="00B33E17" w:rsidP="00E91EBC">
      <w:pPr>
        <w:pStyle w:val="Body"/>
      </w:pPr>
      <w:r>
        <w:t xml:space="preserve">Risk </w:t>
      </w:r>
      <w:r w:rsidR="00C70A70">
        <w:t xml:space="preserve">assessments </w:t>
      </w:r>
      <w:r>
        <w:t xml:space="preserve">and engineering assessments require practice. </w:t>
      </w:r>
      <w:r w:rsidR="00E91EBC">
        <w:t>An as</w:t>
      </w:r>
      <w:r w:rsidR="00D50764">
        <w:t>sumption is that at least</w:t>
      </w:r>
      <w:r w:rsidR="00E91EBC">
        <w:t xml:space="preserve"> three weeks </w:t>
      </w:r>
      <w:r w:rsidR="00D50764">
        <w:t xml:space="preserve">of the course </w:t>
      </w:r>
      <w:r w:rsidR="00E91EBC">
        <w:t>will be devoted to</w:t>
      </w:r>
      <w:r>
        <w:t xml:space="preserve"> discussions of</w:t>
      </w:r>
      <w:r w:rsidR="00E91EBC">
        <w:t xml:space="preserve"> student pro</w:t>
      </w:r>
      <w:r>
        <w:t xml:space="preserve">jects or </w:t>
      </w:r>
      <w:r w:rsidR="00E91EBC">
        <w:t>presentations: St</w:t>
      </w:r>
      <w:r w:rsidR="00E91EBC">
        <w:t>u</w:t>
      </w:r>
      <w:r w:rsidR="00E91EBC">
        <w:t xml:space="preserve">dents could report on </w:t>
      </w:r>
      <w:r>
        <w:t xml:space="preserve">a group </w:t>
      </w:r>
      <w:r w:rsidR="00E91EBC">
        <w:t xml:space="preserve">project or </w:t>
      </w:r>
      <w:r>
        <w:t xml:space="preserve">a number of lectures </w:t>
      </w:r>
      <w:r w:rsidR="00E91EBC">
        <w:t>could be devoted to working through an assurance case or a risk as</w:t>
      </w:r>
      <w:r w:rsidR="00C70A70">
        <w:t>sessment example.</w:t>
      </w:r>
    </w:p>
    <w:tbl>
      <w:tblPr>
        <w:tblStyle w:val="TableGrid"/>
        <w:tblW w:w="0" w:type="auto"/>
        <w:tblLook w:val="04A0" w:firstRow="1" w:lastRow="0" w:firstColumn="1" w:lastColumn="0" w:noHBand="0" w:noVBand="1"/>
      </w:tblPr>
      <w:tblGrid>
        <w:gridCol w:w="1699"/>
        <w:gridCol w:w="3809"/>
        <w:gridCol w:w="1052"/>
        <w:gridCol w:w="1700"/>
      </w:tblGrid>
      <w:tr w:rsidR="00570D20" w:rsidRPr="00E26861" w14:paraId="5C880869" w14:textId="77777777" w:rsidTr="00EF1CF9">
        <w:trPr>
          <w:tblHeader/>
        </w:trPr>
        <w:tc>
          <w:tcPr>
            <w:tcW w:w="1699" w:type="dxa"/>
          </w:tcPr>
          <w:p w14:paraId="1A8B747A" w14:textId="69B779A3" w:rsidR="00570D20" w:rsidRPr="00EF1CF9" w:rsidRDefault="00570D20" w:rsidP="00EF1CF9">
            <w:pPr>
              <w:pStyle w:val="Body"/>
              <w:spacing w:before="0" w:after="0"/>
              <w:rPr>
                <w:b/>
                <w:sz w:val="20"/>
              </w:rPr>
            </w:pPr>
            <w:r w:rsidRPr="00EF1CF9">
              <w:rPr>
                <w:b/>
                <w:sz w:val="20"/>
              </w:rPr>
              <w:t>Area</w:t>
            </w:r>
          </w:p>
        </w:tc>
        <w:tc>
          <w:tcPr>
            <w:tcW w:w="3809" w:type="dxa"/>
          </w:tcPr>
          <w:p w14:paraId="730030BA" w14:textId="3EC245B8" w:rsidR="00570D20" w:rsidRPr="00EF1CF9" w:rsidRDefault="00570D20" w:rsidP="00EF1CF9">
            <w:pPr>
              <w:pStyle w:val="Body"/>
              <w:spacing w:before="0" w:after="0"/>
              <w:rPr>
                <w:b/>
                <w:sz w:val="20"/>
              </w:rPr>
            </w:pPr>
            <w:r w:rsidRPr="00EF1CF9">
              <w:rPr>
                <w:b/>
                <w:sz w:val="20"/>
              </w:rPr>
              <w:t>Topic</w:t>
            </w:r>
          </w:p>
        </w:tc>
        <w:tc>
          <w:tcPr>
            <w:tcW w:w="1052" w:type="dxa"/>
          </w:tcPr>
          <w:p w14:paraId="695A498D" w14:textId="3DF98613" w:rsidR="00570D20" w:rsidRPr="00EF1CF9" w:rsidRDefault="00570D20" w:rsidP="00EF1CF9">
            <w:pPr>
              <w:pStyle w:val="Body"/>
              <w:spacing w:before="0" w:after="0"/>
              <w:rPr>
                <w:b/>
                <w:sz w:val="20"/>
              </w:rPr>
            </w:pPr>
            <w:r w:rsidRPr="00EF1CF9">
              <w:rPr>
                <w:b/>
                <w:sz w:val="20"/>
              </w:rPr>
              <w:t>Module</w:t>
            </w:r>
          </w:p>
        </w:tc>
        <w:tc>
          <w:tcPr>
            <w:tcW w:w="1700" w:type="dxa"/>
          </w:tcPr>
          <w:p w14:paraId="47C49B56" w14:textId="1FE1C208" w:rsidR="00570D20" w:rsidRPr="00EF1CF9" w:rsidRDefault="00570D20" w:rsidP="00EF1CF9">
            <w:pPr>
              <w:pStyle w:val="Body"/>
              <w:spacing w:before="0" w:after="0"/>
              <w:rPr>
                <w:b/>
                <w:sz w:val="20"/>
              </w:rPr>
            </w:pPr>
            <w:r w:rsidRPr="00EF1CF9">
              <w:rPr>
                <w:b/>
                <w:sz w:val="20"/>
              </w:rPr>
              <w:t>Estimated time</w:t>
            </w:r>
          </w:p>
        </w:tc>
      </w:tr>
      <w:tr w:rsidR="006D4E93" w:rsidRPr="00E26861" w14:paraId="4347B8D3" w14:textId="77777777" w:rsidTr="00EF1CF9">
        <w:trPr>
          <w:tblHeader/>
        </w:trPr>
        <w:tc>
          <w:tcPr>
            <w:tcW w:w="1699" w:type="dxa"/>
          </w:tcPr>
          <w:p w14:paraId="4347B8CE" w14:textId="1DF14437" w:rsidR="006D4E93" w:rsidRPr="00EF1CF9" w:rsidRDefault="006D4E93" w:rsidP="00EF1CF9">
            <w:pPr>
              <w:pStyle w:val="Body"/>
              <w:spacing w:before="0" w:after="0"/>
              <w:rPr>
                <w:sz w:val="20"/>
              </w:rPr>
            </w:pPr>
          </w:p>
        </w:tc>
        <w:tc>
          <w:tcPr>
            <w:tcW w:w="3809" w:type="dxa"/>
          </w:tcPr>
          <w:p w14:paraId="4347B8CF" w14:textId="730EA2AC" w:rsidR="006D4E93" w:rsidRPr="00EF1CF9" w:rsidRDefault="00570D20" w:rsidP="00EF1CF9">
            <w:pPr>
              <w:pStyle w:val="Body"/>
              <w:spacing w:before="0" w:after="0"/>
              <w:rPr>
                <w:sz w:val="20"/>
              </w:rPr>
            </w:pPr>
            <w:r w:rsidRPr="00EF1CF9">
              <w:rPr>
                <w:sz w:val="20"/>
              </w:rPr>
              <w:t xml:space="preserve">Course </w:t>
            </w:r>
            <w:r w:rsidR="000B3250" w:rsidRPr="00EF1CF9">
              <w:rPr>
                <w:sz w:val="20"/>
              </w:rPr>
              <w:t>i</w:t>
            </w:r>
            <w:r w:rsidR="006D4E93" w:rsidRPr="00EF1CF9">
              <w:rPr>
                <w:sz w:val="20"/>
              </w:rPr>
              <w:t>ntroductio</w:t>
            </w:r>
            <w:r w:rsidRPr="00EF1CF9">
              <w:rPr>
                <w:sz w:val="20"/>
              </w:rPr>
              <w:t>n</w:t>
            </w:r>
          </w:p>
        </w:tc>
        <w:tc>
          <w:tcPr>
            <w:tcW w:w="1052" w:type="dxa"/>
          </w:tcPr>
          <w:p w14:paraId="4347B8D1" w14:textId="10783E5C" w:rsidR="006D4E93" w:rsidRPr="00EF1CF9" w:rsidRDefault="000B3250" w:rsidP="00EF1CF9">
            <w:pPr>
              <w:pStyle w:val="Body"/>
              <w:spacing w:before="0" w:after="0"/>
              <w:rPr>
                <w:sz w:val="20"/>
              </w:rPr>
            </w:pPr>
            <w:r w:rsidRPr="00EF1CF9">
              <w:rPr>
                <w:sz w:val="20"/>
              </w:rPr>
              <w:t>1</w:t>
            </w:r>
          </w:p>
        </w:tc>
        <w:tc>
          <w:tcPr>
            <w:tcW w:w="1700" w:type="dxa"/>
          </w:tcPr>
          <w:p w14:paraId="4347B8D2" w14:textId="1A30917D" w:rsidR="006D4E93" w:rsidRPr="00EF1CF9" w:rsidRDefault="00C8222E" w:rsidP="00EF1CF9">
            <w:pPr>
              <w:pStyle w:val="Body"/>
              <w:spacing w:before="0" w:after="0"/>
              <w:rPr>
                <w:sz w:val="20"/>
              </w:rPr>
            </w:pPr>
            <w:r w:rsidRPr="00EF1CF9">
              <w:rPr>
                <w:sz w:val="20"/>
              </w:rPr>
              <w:t>1 week</w:t>
            </w:r>
          </w:p>
        </w:tc>
      </w:tr>
      <w:tr w:rsidR="006D4E93" w:rsidRPr="00E26861" w14:paraId="4347B8D9" w14:textId="77777777" w:rsidTr="00EF1CF9">
        <w:trPr>
          <w:trHeight w:val="411"/>
          <w:tblHeader/>
        </w:trPr>
        <w:tc>
          <w:tcPr>
            <w:tcW w:w="1699" w:type="dxa"/>
            <w:vMerge w:val="restart"/>
            <w:vAlign w:val="center"/>
          </w:tcPr>
          <w:p w14:paraId="4347B8D4" w14:textId="7268FFA3" w:rsidR="006D4E93" w:rsidRPr="00EF1CF9" w:rsidRDefault="00570D20" w:rsidP="00EF1CF9">
            <w:pPr>
              <w:pStyle w:val="Body"/>
              <w:spacing w:before="0" w:after="0"/>
              <w:rPr>
                <w:sz w:val="20"/>
              </w:rPr>
            </w:pPr>
            <w:r w:rsidRPr="00EF1CF9">
              <w:rPr>
                <w:sz w:val="20"/>
              </w:rPr>
              <w:t>Risk m</w:t>
            </w:r>
            <w:r w:rsidR="006D4E93" w:rsidRPr="00EF1CF9">
              <w:rPr>
                <w:sz w:val="20"/>
              </w:rPr>
              <w:t>anagement</w:t>
            </w:r>
          </w:p>
        </w:tc>
        <w:tc>
          <w:tcPr>
            <w:tcW w:w="3809" w:type="dxa"/>
          </w:tcPr>
          <w:p w14:paraId="4347B8D5" w14:textId="3ACD385B" w:rsidR="006D4E93" w:rsidRPr="00EF1CF9" w:rsidRDefault="006D4E93" w:rsidP="00EF1CF9">
            <w:pPr>
              <w:pStyle w:val="Body"/>
              <w:spacing w:before="0" w:after="0"/>
              <w:rPr>
                <w:sz w:val="20"/>
              </w:rPr>
            </w:pPr>
            <w:r w:rsidRPr="00EF1CF9">
              <w:rPr>
                <w:sz w:val="20"/>
              </w:rPr>
              <w:t>Introduction and threat modeling</w:t>
            </w:r>
          </w:p>
        </w:tc>
        <w:tc>
          <w:tcPr>
            <w:tcW w:w="1052" w:type="dxa"/>
          </w:tcPr>
          <w:p w14:paraId="4347B8D7" w14:textId="6FFCFDF3" w:rsidR="006D4E93" w:rsidRPr="00EF1CF9" w:rsidRDefault="000B3250" w:rsidP="00EF1CF9">
            <w:pPr>
              <w:pStyle w:val="Body"/>
              <w:spacing w:before="0" w:after="0"/>
              <w:rPr>
                <w:sz w:val="20"/>
              </w:rPr>
            </w:pPr>
            <w:r w:rsidRPr="00EF1CF9">
              <w:rPr>
                <w:sz w:val="20"/>
              </w:rPr>
              <w:t>2</w:t>
            </w:r>
          </w:p>
        </w:tc>
        <w:tc>
          <w:tcPr>
            <w:tcW w:w="1700" w:type="dxa"/>
          </w:tcPr>
          <w:p w14:paraId="4347B8D8" w14:textId="3CE07A8D" w:rsidR="006D4E93" w:rsidRPr="00EF1CF9" w:rsidRDefault="00396558" w:rsidP="00EF1CF9">
            <w:pPr>
              <w:pStyle w:val="Body"/>
              <w:spacing w:before="0" w:after="0"/>
              <w:rPr>
                <w:sz w:val="20"/>
              </w:rPr>
            </w:pPr>
            <w:r w:rsidRPr="00EF1CF9">
              <w:rPr>
                <w:sz w:val="20"/>
              </w:rPr>
              <w:t>The combi</w:t>
            </w:r>
            <w:r w:rsidR="00B33E17" w:rsidRPr="00EF1CF9">
              <w:rPr>
                <w:sz w:val="20"/>
              </w:rPr>
              <w:t>nation of modules 2 and 3 along with st</w:t>
            </w:r>
            <w:r w:rsidR="00B33E17" w:rsidRPr="00EF1CF9">
              <w:rPr>
                <w:sz w:val="20"/>
              </w:rPr>
              <w:t>u</w:t>
            </w:r>
            <w:r w:rsidR="00B33E17" w:rsidRPr="00EF1CF9">
              <w:rPr>
                <w:sz w:val="20"/>
              </w:rPr>
              <w:t>dent exercises or lecture-based e</w:t>
            </w:r>
            <w:r w:rsidR="00B33E17" w:rsidRPr="00EF1CF9">
              <w:rPr>
                <w:sz w:val="20"/>
              </w:rPr>
              <w:t>x</w:t>
            </w:r>
            <w:r w:rsidR="00B33E17" w:rsidRPr="00EF1CF9">
              <w:rPr>
                <w:sz w:val="20"/>
              </w:rPr>
              <w:t xml:space="preserve">amples will take at least 2 weeks. </w:t>
            </w:r>
          </w:p>
        </w:tc>
      </w:tr>
      <w:tr w:rsidR="006D4E93" w:rsidRPr="00E26861" w14:paraId="4347B8DF" w14:textId="77777777" w:rsidTr="00EF1CF9">
        <w:trPr>
          <w:tblHeader/>
        </w:trPr>
        <w:tc>
          <w:tcPr>
            <w:tcW w:w="1699" w:type="dxa"/>
            <w:vMerge/>
          </w:tcPr>
          <w:p w14:paraId="4347B8DA" w14:textId="7018D203" w:rsidR="006D4E93" w:rsidRPr="00EF1CF9" w:rsidRDefault="006D4E93" w:rsidP="00EF1CF9">
            <w:pPr>
              <w:pStyle w:val="Body"/>
              <w:spacing w:before="0" w:after="0"/>
              <w:rPr>
                <w:sz w:val="20"/>
              </w:rPr>
            </w:pPr>
          </w:p>
        </w:tc>
        <w:tc>
          <w:tcPr>
            <w:tcW w:w="3809" w:type="dxa"/>
          </w:tcPr>
          <w:p w14:paraId="4347B8DB" w14:textId="6BBD8F3B" w:rsidR="006D4E93" w:rsidRPr="00EF1CF9" w:rsidRDefault="006D4E93" w:rsidP="00EF1CF9">
            <w:pPr>
              <w:pStyle w:val="Body"/>
              <w:spacing w:before="0" w:after="0"/>
              <w:rPr>
                <w:sz w:val="20"/>
              </w:rPr>
            </w:pPr>
            <w:r w:rsidRPr="00EF1CF9">
              <w:rPr>
                <w:sz w:val="20"/>
              </w:rPr>
              <w:t>Security Engineering Risk Analysis</w:t>
            </w:r>
            <w:r w:rsidRPr="00EF1CF9">
              <w:rPr>
                <w:sz w:val="20"/>
              </w:rPr>
              <w:br/>
              <w:t xml:space="preserve"> Method (SERA)</w:t>
            </w:r>
            <w:r w:rsidR="000B3250" w:rsidRPr="00EF1CF9">
              <w:rPr>
                <w:sz w:val="20"/>
              </w:rPr>
              <w:t>:</w:t>
            </w:r>
          </w:p>
        </w:tc>
        <w:tc>
          <w:tcPr>
            <w:tcW w:w="1052" w:type="dxa"/>
          </w:tcPr>
          <w:p w14:paraId="4347B8DD" w14:textId="57A74BC3" w:rsidR="006D4E93" w:rsidRPr="00EF1CF9" w:rsidRDefault="000B3250" w:rsidP="00EF1CF9">
            <w:pPr>
              <w:pStyle w:val="Body"/>
              <w:spacing w:before="0" w:after="0"/>
              <w:rPr>
                <w:sz w:val="20"/>
              </w:rPr>
            </w:pPr>
            <w:r w:rsidRPr="00EF1CF9">
              <w:rPr>
                <w:sz w:val="20"/>
              </w:rPr>
              <w:t>3</w:t>
            </w:r>
          </w:p>
        </w:tc>
        <w:tc>
          <w:tcPr>
            <w:tcW w:w="1700" w:type="dxa"/>
          </w:tcPr>
          <w:p w14:paraId="4347B8DE" w14:textId="1C8D0AA7" w:rsidR="006D4E93" w:rsidRPr="00EF1CF9" w:rsidRDefault="006D4E93" w:rsidP="00EF1CF9">
            <w:pPr>
              <w:pStyle w:val="Body"/>
              <w:spacing w:before="0" w:after="0"/>
              <w:rPr>
                <w:sz w:val="20"/>
              </w:rPr>
            </w:pPr>
          </w:p>
        </w:tc>
      </w:tr>
      <w:tr w:rsidR="006D4E93" w:rsidRPr="00E26861" w14:paraId="4347B8E5" w14:textId="77777777" w:rsidTr="00EF1CF9">
        <w:trPr>
          <w:tblHeader/>
        </w:trPr>
        <w:tc>
          <w:tcPr>
            <w:tcW w:w="1699" w:type="dxa"/>
            <w:vMerge w:val="restart"/>
            <w:vAlign w:val="center"/>
          </w:tcPr>
          <w:p w14:paraId="4347B8E0" w14:textId="427E16F1" w:rsidR="006D4E93" w:rsidRPr="00EF1CF9" w:rsidRDefault="00570D20" w:rsidP="00EF1CF9">
            <w:pPr>
              <w:pStyle w:val="Body"/>
              <w:spacing w:before="0" w:after="0"/>
              <w:rPr>
                <w:sz w:val="20"/>
              </w:rPr>
            </w:pPr>
            <w:r w:rsidRPr="00EF1CF9">
              <w:rPr>
                <w:sz w:val="20"/>
              </w:rPr>
              <w:t>Assurance c</w:t>
            </w:r>
            <w:r w:rsidR="006D4E93" w:rsidRPr="00EF1CF9">
              <w:rPr>
                <w:sz w:val="20"/>
              </w:rPr>
              <w:t>ase</w:t>
            </w:r>
            <w:r w:rsidRPr="00EF1CF9">
              <w:rPr>
                <w:sz w:val="20"/>
              </w:rPr>
              <w:t xml:space="preserve"> analysis</w:t>
            </w:r>
          </w:p>
        </w:tc>
        <w:tc>
          <w:tcPr>
            <w:tcW w:w="3809" w:type="dxa"/>
          </w:tcPr>
          <w:p w14:paraId="4347B8E1" w14:textId="2D86D336" w:rsidR="006D4E93" w:rsidRPr="00EF1CF9" w:rsidRDefault="006D4E93" w:rsidP="00EF1CF9">
            <w:pPr>
              <w:pStyle w:val="Body"/>
              <w:spacing w:before="0" w:after="0"/>
              <w:rPr>
                <w:sz w:val="20"/>
              </w:rPr>
            </w:pPr>
            <w:r w:rsidRPr="00EF1CF9">
              <w:rPr>
                <w:sz w:val="20"/>
              </w:rPr>
              <w:t>Introduction</w:t>
            </w:r>
          </w:p>
        </w:tc>
        <w:tc>
          <w:tcPr>
            <w:tcW w:w="1052" w:type="dxa"/>
          </w:tcPr>
          <w:p w14:paraId="4347B8E3" w14:textId="481254AD" w:rsidR="006D4E93" w:rsidRPr="00EF1CF9" w:rsidRDefault="000B3250" w:rsidP="00EF1CF9">
            <w:pPr>
              <w:pStyle w:val="Body"/>
              <w:spacing w:before="0" w:after="0"/>
              <w:rPr>
                <w:sz w:val="20"/>
              </w:rPr>
            </w:pPr>
            <w:r w:rsidRPr="00EF1CF9">
              <w:rPr>
                <w:sz w:val="20"/>
              </w:rPr>
              <w:t>4</w:t>
            </w:r>
          </w:p>
        </w:tc>
        <w:tc>
          <w:tcPr>
            <w:tcW w:w="1700" w:type="dxa"/>
          </w:tcPr>
          <w:p w14:paraId="4347B8E4" w14:textId="28F61FC7" w:rsidR="006D4E93" w:rsidRPr="00EF1CF9" w:rsidRDefault="00B33E17" w:rsidP="00EF1CF9">
            <w:pPr>
              <w:pStyle w:val="Body"/>
              <w:spacing w:before="0" w:after="0"/>
              <w:rPr>
                <w:sz w:val="20"/>
              </w:rPr>
            </w:pPr>
            <w:r w:rsidRPr="00EF1CF9">
              <w:rPr>
                <w:sz w:val="20"/>
              </w:rPr>
              <w:t>Modules 4 and 5 with in-class e</w:t>
            </w:r>
            <w:r w:rsidRPr="00EF1CF9">
              <w:rPr>
                <w:sz w:val="20"/>
              </w:rPr>
              <w:t>x</w:t>
            </w:r>
            <w:r w:rsidRPr="00EF1CF9">
              <w:rPr>
                <w:sz w:val="20"/>
              </w:rPr>
              <w:t>amples, should take two weeks. Another week could be devoted to discussions of student developed of assurance case segments</w:t>
            </w:r>
            <w:r w:rsidR="0045144A" w:rsidRPr="00EF1CF9">
              <w:rPr>
                <w:sz w:val="20"/>
              </w:rPr>
              <w:t>.</w:t>
            </w:r>
            <w:r w:rsidRPr="00EF1CF9">
              <w:rPr>
                <w:sz w:val="20"/>
              </w:rPr>
              <w:t xml:space="preserve"> </w:t>
            </w:r>
          </w:p>
        </w:tc>
      </w:tr>
      <w:tr w:rsidR="006D4E93" w:rsidRPr="00E26861" w14:paraId="3EA0EACC" w14:textId="77777777" w:rsidTr="00EF1CF9">
        <w:trPr>
          <w:tblHeader/>
        </w:trPr>
        <w:tc>
          <w:tcPr>
            <w:tcW w:w="1699" w:type="dxa"/>
            <w:vMerge/>
          </w:tcPr>
          <w:p w14:paraId="6DC0EC71" w14:textId="7F7A7067" w:rsidR="006D4E93" w:rsidRPr="00EF1CF9" w:rsidRDefault="006D4E93" w:rsidP="00EF1CF9">
            <w:pPr>
              <w:pStyle w:val="Body"/>
              <w:spacing w:before="0" w:after="0"/>
              <w:rPr>
                <w:sz w:val="20"/>
              </w:rPr>
            </w:pPr>
          </w:p>
        </w:tc>
        <w:tc>
          <w:tcPr>
            <w:tcW w:w="3809" w:type="dxa"/>
          </w:tcPr>
          <w:p w14:paraId="1D3B8D36" w14:textId="590A77D2" w:rsidR="006D4E93" w:rsidRPr="00EF1CF9" w:rsidRDefault="006D4E93" w:rsidP="00EF1CF9">
            <w:pPr>
              <w:pStyle w:val="Body"/>
              <w:spacing w:before="0" w:after="0"/>
              <w:rPr>
                <w:sz w:val="20"/>
              </w:rPr>
            </w:pPr>
            <w:r w:rsidRPr="00EF1CF9">
              <w:rPr>
                <w:sz w:val="20"/>
              </w:rPr>
              <w:t>Confidence Map</w:t>
            </w:r>
          </w:p>
        </w:tc>
        <w:tc>
          <w:tcPr>
            <w:tcW w:w="1052" w:type="dxa"/>
          </w:tcPr>
          <w:p w14:paraId="255021C1" w14:textId="02474CB7" w:rsidR="006D4E93" w:rsidRPr="00EF1CF9" w:rsidRDefault="000B3250" w:rsidP="00EF1CF9">
            <w:pPr>
              <w:pStyle w:val="Body"/>
              <w:spacing w:before="0" w:after="0"/>
              <w:rPr>
                <w:sz w:val="20"/>
              </w:rPr>
            </w:pPr>
            <w:r w:rsidRPr="00EF1CF9">
              <w:rPr>
                <w:sz w:val="20"/>
              </w:rPr>
              <w:t>5</w:t>
            </w:r>
          </w:p>
        </w:tc>
        <w:tc>
          <w:tcPr>
            <w:tcW w:w="1700" w:type="dxa"/>
          </w:tcPr>
          <w:p w14:paraId="0E2BBA90" w14:textId="77777777" w:rsidR="006D4E93" w:rsidRPr="00EF1CF9" w:rsidRDefault="006D4E93" w:rsidP="00EF1CF9">
            <w:pPr>
              <w:pStyle w:val="Body"/>
              <w:spacing w:before="0" w:after="0"/>
              <w:rPr>
                <w:sz w:val="20"/>
              </w:rPr>
            </w:pPr>
          </w:p>
        </w:tc>
      </w:tr>
      <w:tr w:rsidR="006D4E93" w:rsidRPr="00E26861" w14:paraId="03E40ADD" w14:textId="77777777" w:rsidTr="00EF1CF9">
        <w:trPr>
          <w:tblHeader/>
        </w:trPr>
        <w:tc>
          <w:tcPr>
            <w:tcW w:w="1699" w:type="dxa"/>
            <w:vMerge/>
          </w:tcPr>
          <w:p w14:paraId="2A1B39ED" w14:textId="0471E682" w:rsidR="006D4E93" w:rsidRPr="00EF1CF9" w:rsidRDefault="006D4E93" w:rsidP="00EF1CF9">
            <w:pPr>
              <w:pStyle w:val="Body"/>
              <w:spacing w:before="0" w:after="0"/>
              <w:rPr>
                <w:sz w:val="20"/>
              </w:rPr>
            </w:pPr>
          </w:p>
        </w:tc>
        <w:tc>
          <w:tcPr>
            <w:tcW w:w="3809" w:type="dxa"/>
          </w:tcPr>
          <w:p w14:paraId="718A06CC" w14:textId="578BCE8B" w:rsidR="006D4E93" w:rsidRPr="00EF1CF9" w:rsidRDefault="006D4E93" w:rsidP="00EF1CF9">
            <w:pPr>
              <w:pStyle w:val="Body"/>
              <w:spacing w:before="0" w:after="0"/>
              <w:rPr>
                <w:sz w:val="20"/>
              </w:rPr>
            </w:pPr>
            <w:r w:rsidRPr="00EF1CF9">
              <w:rPr>
                <w:sz w:val="20"/>
              </w:rPr>
              <w:t>Co</w:t>
            </w:r>
            <w:r w:rsidR="00570D20" w:rsidRPr="00EF1CF9">
              <w:rPr>
                <w:sz w:val="20"/>
              </w:rPr>
              <w:t>nstructi</w:t>
            </w:r>
            <w:r w:rsidR="000B3250" w:rsidRPr="00EF1CF9">
              <w:rPr>
                <w:sz w:val="20"/>
              </w:rPr>
              <w:t>ng a</w:t>
            </w:r>
            <w:r w:rsidR="00570D20" w:rsidRPr="00EF1CF9">
              <w:rPr>
                <w:sz w:val="20"/>
              </w:rPr>
              <w:t>ssurance</w:t>
            </w:r>
            <w:r w:rsidR="000B3250" w:rsidRPr="00EF1CF9">
              <w:rPr>
                <w:sz w:val="20"/>
              </w:rPr>
              <w:t xml:space="preserve"> cases</w:t>
            </w:r>
          </w:p>
        </w:tc>
        <w:tc>
          <w:tcPr>
            <w:tcW w:w="1052" w:type="dxa"/>
          </w:tcPr>
          <w:p w14:paraId="73B99905" w14:textId="0456B01F" w:rsidR="006D4E93" w:rsidRPr="00EF1CF9" w:rsidRDefault="000B3250" w:rsidP="00EF1CF9">
            <w:pPr>
              <w:pStyle w:val="Body"/>
              <w:spacing w:before="0" w:after="0"/>
              <w:rPr>
                <w:sz w:val="20"/>
              </w:rPr>
            </w:pPr>
            <w:r w:rsidRPr="00EF1CF9">
              <w:rPr>
                <w:sz w:val="20"/>
              </w:rPr>
              <w:t>6</w:t>
            </w:r>
          </w:p>
        </w:tc>
        <w:tc>
          <w:tcPr>
            <w:tcW w:w="1700" w:type="dxa"/>
          </w:tcPr>
          <w:p w14:paraId="32305971" w14:textId="7EF1B27D" w:rsidR="006D4E93" w:rsidRPr="00EF1CF9" w:rsidRDefault="008D5DFC" w:rsidP="00EF1CF9">
            <w:pPr>
              <w:pStyle w:val="Body"/>
              <w:spacing w:before="0" w:after="0"/>
              <w:rPr>
                <w:sz w:val="20"/>
              </w:rPr>
            </w:pPr>
            <w:r w:rsidRPr="00EF1CF9">
              <w:rPr>
                <w:sz w:val="20"/>
              </w:rPr>
              <w:t>This module could be read by students outside of a lecture.</w:t>
            </w:r>
          </w:p>
        </w:tc>
      </w:tr>
      <w:tr w:rsidR="00570D20" w:rsidRPr="00E26861" w14:paraId="387EA2B8" w14:textId="77777777" w:rsidTr="00EF1CF9">
        <w:trPr>
          <w:tblHeader/>
        </w:trPr>
        <w:tc>
          <w:tcPr>
            <w:tcW w:w="1699" w:type="dxa"/>
            <w:vMerge w:val="restart"/>
            <w:vAlign w:val="center"/>
          </w:tcPr>
          <w:p w14:paraId="7E408C47" w14:textId="545FA75A" w:rsidR="00570D20" w:rsidRPr="00EF1CF9" w:rsidRDefault="00570D20" w:rsidP="00EF1CF9">
            <w:pPr>
              <w:pStyle w:val="Body"/>
              <w:spacing w:before="0" w:after="0"/>
              <w:rPr>
                <w:sz w:val="20"/>
              </w:rPr>
            </w:pPr>
            <w:r w:rsidRPr="00EF1CF9">
              <w:rPr>
                <w:sz w:val="20"/>
              </w:rPr>
              <w:t>Developer cap</w:t>
            </w:r>
            <w:r w:rsidRPr="00EF1CF9">
              <w:rPr>
                <w:sz w:val="20"/>
              </w:rPr>
              <w:t>a</w:t>
            </w:r>
            <w:r w:rsidRPr="00EF1CF9">
              <w:rPr>
                <w:sz w:val="20"/>
              </w:rPr>
              <w:t>bilities</w:t>
            </w:r>
          </w:p>
        </w:tc>
        <w:tc>
          <w:tcPr>
            <w:tcW w:w="3809" w:type="dxa"/>
          </w:tcPr>
          <w:p w14:paraId="0D526AA5" w14:textId="0157A69A" w:rsidR="00570D20" w:rsidRPr="00EF1CF9" w:rsidRDefault="00570D20" w:rsidP="00EF1CF9">
            <w:pPr>
              <w:pStyle w:val="Body"/>
              <w:spacing w:before="0" w:after="0"/>
              <w:rPr>
                <w:sz w:val="20"/>
              </w:rPr>
            </w:pPr>
            <w:r w:rsidRPr="00EF1CF9">
              <w:rPr>
                <w:sz w:val="20"/>
              </w:rPr>
              <w:t>Building Security In Maturity Model (BSIMM): Module 7</w:t>
            </w:r>
          </w:p>
        </w:tc>
        <w:tc>
          <w:tcPr>
            <w:tcW w:w="1052" w:type="dxa"/>
          </w:tcPr>
          <w:p w14:paraId="69F76C3F" w14:textId="0CAF4C1D" w:rsidR="00570D20" w:rsidRPr="00EF1CF9" w:rsidRDefault="000B3250" w:rsidP="00EF1CF9">
            <w:pPr>
              <w:pStyle w:val="Body"/>
              <w:spacing w:before="0" w:after="0"/>
              <w:rPr>
                <w:sz w:val="20"/>
              </w:rPr>
            </w:pPr>
            <w:r w:rsidRPr="00EF1CF9">
              <w:rPr>
                <w:sz w:val="20"/>
              </w:rPr>
              <w:t>7</w:t>
            </w:r>
          </w:p>
        </w:tc>
        <w:tc>
          <w:tcPr>
            <w:tcW w:w="1700" w:type="dxa"/>
          </w:tcPr>
          <w:p w14:paraId="7E4D3D9D" w14:textId="77777777" w:rsidR="00570D20" w:rsidRPr="00EF1CF9" w:rsidRDefault="008D5DFC" w:rsidP="00EF1CF9">
            <w:pPr>
              <w:pStyle w:val="Body"/>
              <w:spacing w:before="0" w:after="0"/>
              <w:rPr>
                <w:sz w:val="20"/>
              </w:rPr>
            </w:pPr>
            <w:r w:rsidRPr="00EF1CF9">
              <w:rPr>
                <w:sz w:val="20"/>
              </w:rPr>
              <w:t>1 week</w:t>
            </w:r>
          </w:p>
          <w:p w14:paraId="5400A9CB" w14:textId="19595E1F" w:rsidR="00B33E17" w:rsidRPr="00EF1CF9" w:rsidRDefault="00B33E17" w:rsidP="00EF1CF9">
            <w:pPr>
              <w:pStyle w:val="Body"/>
              <w:spacing w:before="0" w:after="0"/>
              <w:rPr>
                <w:sz w:val="20"/>
              </w:rPr>
            </w:pPr>
          </w:p>
        </w:tc>
      </w:tr>
      <w:tr w:rsidR="00570D20" w:rsidRPr="00E26861" w14:paraId="6F34A2B7" w14:textId="77777777" w:rsidTr="00EF1CF9">
        <w:trPr>
          <w:tblHeader/>
        </w:trPr>
        <w:tc>
          <w:tcPr>
            <w:tcW w:w="1699" w:type="dxa"/>
            <w:vMerge/>
          </w:tcPr>
          <w:p w14:paraId="4736C0AD" w14:textId="68B5238C" w:rsidR="00570D20" w:rsidRPr="00EF1CF9" w:rsidRDefault="00570D20" w:rsidP="00EF1CF9">
            <w:pPr>
              <w:pStyle w:val="Body"/>
              <w:spacing w:before="0" w:after="0"/>
              <w:rPr>
                <w:sz w:val="20"/>
              </w:rPr>
            </w:pPr>
          </w:p>
        </w:tc>
        <w:tc>
          <w:tcPr>
            <w:tcW w:w="3809" w:type="dxa"/>
          </w:tcPr>
          <w:p w14:paraId="1A8A88CA" w14:textId="791C6927" w:rsidR="00570D20" w:rsidRPr="00EF1CF9" w:rsidRDefault="00570D20" w:rsidP="00EF1CF9">
            <w:pPr>
              <w:pStyle w:val="Body"/>
              <w:spacing w:before="0" w:after="0"/>
              <w:rPr>
                <w:sz w:val="20"/>
              </w:rPr>
            </w:pPr>
            <w:r w:rsidRPr="00EF1CF9">
              <w:rPr>
                <w:sz w:val="20"/>
              </w:rPr>
              <w:t>Open Group</w:t>
            </w:r>
            <w:r w:rsidR="000B3250" w:rsidRPr="00EF1CF9">
              <w:rPr>
                <w:sz w:val="20"/>
              </w:rPr>
              <w:t xml:space="preserve">’s </w:t>
            </w:r>
            <w:r w:rsidRPr="00EF1CF9">
              <w:rPr>
                <w:sz w:val="20"/>
              </w:rPr>
              <w:t xml:space="preserve"> Supply Chain Standard A</w:t>
            </w:r>
            <w:r w:rsidRPr="00EF1CF9">
              <w:rPr>
                <w:sz w:val="20"/>
              </w:rPr>
              <w:t>c</w:t>
            </w:r>
            <w:r w:rsidRPr="00EF1CF9">
              <w:rPr>
                <w:sz w:val="20"/>
              </w:rPr>
              <w:t>cr</w:t>
            </w:r>
            <w:r w:rsidR="000B3250" w:rsidRPr="00EF1CF9">
              <w:rPr>
                <w:sz w:val="20"/>
              </w:rPr>
              <w:t>editation as</w:t>
            </w:r>
            <w:r w:rsidRPr="00EF1CF9">
              <w:rPr>
                <w:sz w:val="20"/>
              </w:rPr>
              <w:t xml:space="preserve"> an assurance case</w:t>
            </w:r>
          </w:p>
        </w:tc>
        <w:tc>
          <w:tcPr>
            <w:tcW w:w="1052" w:type="dxa"/>
          </w:tcPr>
          <w:p w14:paraId="6F0BD1FF" w14:textId="3C07BD83" w:rsidR="00570D20" w:rsidRPr="00EF1CF9" w:rsidRDefault="000B3250" w:rsidP="00EF1CF9">
            <w:pPr>
              <w:pStyle w:val="Body"/>
              <w:spacing w:before="0" w:after="0"/>
              <w:rPr>
                <w:sz w:val="20"/>
              </w:rPr>
            </w:pPr>
            <w:r w:rsidRPr="00EF1CF9">
              <w:rPr>
                <w:sz w:val="20"/>
              </w:rPr>
              <w:t>8</w:t>
            </w:r>
          </w:p>
        </w:tc>
        <w:tc>
          <w:tcPr>
            <w:tcW w:w="1700" w:type="dxa"/>
          </w:tcPr>
          <w:p w14:paraId="338422B7" w14:textId="147C96B8" w:rsidR="00570D20" w:rsidRPr="00EF1CF9" w:rsidRDefault="008D5DFC" w:rsidP="00EF1CF9">
            <w:pPr>
              <w:pStyle w:val="Body"/>
              <w:spacing w:before="0" w:after="0"/>
              <w:rPr>
                <w:sz w:val="20"/>
              </w:rPr>
            </w:pPr>
            <w:r w:rsidRPr="00EF1CF9">
              <w:rPr>
                <w:sz w:val="20"/>
              </w:rPr>
              <w:t>1 week</w:t>
            </w:r>
          </w:p>
        </w:tc>
      </w:tr>
      <w:tr w:rsidR="006D4E93" w:rsidRPr="00E26861" w14:paraId="654110F1" w14:textId="77777777" w:rsidTr="00EF1CF9">
        <w:trPr>
          <w:tblHeader/>
        </w:trPr>
        <w:tc>
          <w:tcPr>
            <w:tcW w:w="1699" w:type="dxa"/>
          </w:tcPr>
          <w:p w14:paraId="51249162" w14:textId="39B6A805" w:rsidR="006D4E93" w:rsidRPr="00EF1CF9" w:rsidRDefault="00570D20" w:rsidP="00EF1CF9">
            <w:pPr>
              <w:pStyle w:val="Body"/>
              <w:spacing w:before="0" w:after="0"/>
              <w:rPr>
                <w:sz w:val="20"/>
              </w:rPr>
            </w:pPr>
            <w:r w:rsidRPr="00EF1CF9">
              <w:rPr>
                <w:sz w:val="20"/>
              </w:rPr>
              <w:t>System and sy</w:t>
            </w:r>
            <w:r w:rsidRPr="00EF1CF9">
              <w:rPr>
                <w:sz w:val="20"/>
              </w:rPr>
              <w:t>s</w:t>
            </w:r>
            <w:r w:rsidRPr="00EF1CF9">
              <w:rPr>
                <w:sz w:val="20"/>
              </w:rPr>
              <w:t>tems of systems security assurance</w:t>
            </w:r>
          </w:p>
        </w:tc>
        <w:tc>
          <w:tcPr>
            <w:tcW w:w="3809" w:type="dxa"/>
          </w:tcPr>
          <w:p w14:paraId="02EA2DD4" w14:textId="77777777" w:rsidR="006D4E93" w:rsidRPr="00EF1CF9" w:rsidRDefault="006D4E93" w:rsidP="00EF1CF9">
            <w:pPr>
              <w:pStyle w:val="Body"/>
              <w:spacing w:before="0" w:after="0"/>
              <w:rPr>
                <w:sz w:val="20"/>
              </w:rPr>
            </w:pPr>
          </w:p>
        </w:tc>
        <w:tc>
          <w:tcPr>
            <w:tcW w:w="1052" w:type="dxa"/>
          </w:tcPr>
          <w:p w14:paraId="5398272C" w14:textId="0FFE19A9" w:rsidR="006D4E93" w:rsidRPr="00EF1CF9" w:rsidRDefault="000B3250" w:rsidP="00EF1CF9">
            <w:pPr>
              <w:pStyle w:val="Body"/>
              <w:spacing w:before="0" w:after="0"/>
              <w:rPr>
                <w:sz w:val="20"/>
              </w:rPr>
            </w:pPr>
            <w:r w:rsidRPr="00EF1CF9">
              <w:rPr>
                <w:sz w:val="20"/>
              </w:rPr>
              <w:t>9</w:t>
            </w:r>
          </w:p>
        </w:tc>
        <w:tc>
          <w:tcPr>
            <w:tcW w:w="1700" w:type="dxa"/>
          </w:tcPr>
          <w:p w14:paraId="0F23A36C" w14:textId="0AAEC0F4" w:rsidR="006D4E93" w:rsidRPr="00EF1CF9" w:rsidRDefault="008D5DFC" w:rsidP="00EF1CF9">
            <w:pPr>
              <w:pStyle w:val="Body"/>
              <w:spacing w:before="0" w:after="0"/>
              <w:rPr>
                <w:sz w:val="20"/>
              </w:rPr>
            </w:pPr>
            <w:r w:rsidRPr="00EF1CF9">
              <w:rPr>
                <w:sz w:val="20"/>
              </w:rPr>
              <w:t>1 week</w:t>
            </w:r>
          </w:p>
        </w:tc>
      </w:tr>
    </w:tbl>
    <w:p w14:paraId="4347B8F2" w14:textId="77777777" w:rsidR="008F1365" w:rsidRPr="008F1365" w:rsidRDefault="008F1365" w:rsidP="008F1365">
      <w:pPr>
        <w:pStyle w:val="Body"/>
      </w:pPr>
    </w:p>
    <w:p w14:paraId="4347B8F4" w14:textId="04A5AA24" w:rsidR="007A7B5F" w:rsidRDefault="00AA5D39" w:rsidP="007A7B5F">
      <w:pPr>
        <w:pStyle w:val="Heading1"/>
      </w:pPr>
      <w:bookmarkStart w:id="4" w:name="_Toc388442944"/>
      <w:r>
        <w:lastRenderedPageBreak/>
        <w:t>Module: Introduction</w:t>
      </w:r>
      <w:bookmarkEnd w:id="4"/>
    </w:p>
    <w:p w14:paraId="4439A847" w14:textId="77777777" w:rsidR="00A7463F" w:rsidRDefault="00A7463F" w:rsidP="00A7463F">
      <w:pPr>
        <w:pStyle w:val="Heading2"/>
      </w:pPr>
      <w:bookmarkStart w:id="5" w:name="_Toc380442688"/>
      <w:bookmarkStart w:id="6" w:name="_Toc382399370"/>
      <w:bookmarkStart w:id="7" w:name="_Toc383705570"/>
      <w:bookmarkStart w:id="8" w:name="_Toc388442945"/>
      <w:r>
        <w:t xml:space="preserve">2003 Power Grid </w:t>
      </w:r>
      <w:bookmarkEnd w:id="5"/>
      <w:bookmarkEnd w:id="6"/>
      <w:r>
        <w:t>Blackout</w:t>
      </w:r>
      <w:bookmarkEnd w:id="7"/>
      <w:bookmarkEnd w:id="8"/>
    </w:p>
    <w:p w14:paraId="0D5A5796" w14:textId="1B9CE957" w:rsidR="00A7463F" w:rsidRDefault="00A7463F" w:rsidP="00A7463F">
      <w:pPr>
        <w:pStyle w:val="Body"/>
      </w:pPr>
      <w:r>
        <w:t>The increased system complexity fundamentally changes how we should do causal analysis. Cu</w:t>
      </w:r>
      <w:r>
        <w:t>r</w:t>
      </w:r>
      <w:r>
        <w:t xml:space="preserve">rently, a security compromise can often be traced to a root cause, but security compromises are increasingly caused by unanticipated interactions across multiple systems. </w:t>
      </w:r>
      <w:r w:rsidR="00FC78B9">
        <w:t xml:space="preserve">A typical system is increasingly likely to be integrated from </w:t>
      </w:r>
      <w:r w:rsidR="00FC78B9" w:rsidRPr="00FC78B9">
        <w:t>independently developed (COTS) compo</w:t>
      </w:r>
      <w:r w:rsidR="00FC78B9">
        <w:t>nents. C</w:t>
      </w:r>
      <w:r>
        <w:t>ausal analysis for safety failures ha</w:t>
      </w:r>
      <w:r w:rsidR="00FC78B9">
        <w:t xml:space="preserve">s changed to reflect the trend and security will eventually have to follow. </w:t>
      </w:r>
    </w:p>
    <w:p w14:paraId="2D14D556" w14:textId="18760875" w:rsidR="00FC78B9" w:rsidRDefault="00FC78B9" w:rsidP="00FC78B9">
      <w:pPr>
        <w:pStyle w:val="Body"/>
      </w:pPr>
      <w:r>
        <w:t>A MITRE technical staff member obs</w:t>
      </w:r>
      <w:r w:rsidR="00BB7922">
        <w:t>erved in a conversation with us</w:t>
      </w:r>
      <w:r>
        <w:t xml:space="preserve"> that many of the users of the CWE </w:t>
      </w:r>
      <w:r w:rsidR="00BB7922">
        <w:t>make repeated visits to the web site seeking information for specific weakness. They do not appear to step back and take a higher-level</w:t>
      </w:r>
      <w:r w:rsidR="0059760F">
        <w:t xml:space="preserve">, </w:t>
      </w:r>
      <w:r w:rsidR="00BB7922">
        <w:t>organizational</w:t>
      </w:r>
      <w:r w:rsidR="0059760F">
        <w:t xml:space="preserve"> or systems </w:t>
      </w:r>
      <w:r w:rsidR="00BB7922">
        <w:t>perspective on how to i</w:t>
      </w:r>
      <w:r w:rsidR="00BB7922">
        <w:t>m</w:t>
      </w:r>
      <w:r w:rsidR="00BB7922">
        <w:t>prove securi</w:t>
      </w:r>
      <w:r w:rsidR="0059760F">
        <w:t>ty.</w:t>
      </w:r>
    </w:p>
    <w:p w14:paraId="21FDF850" w14:textId="36274CCE" w:rsidR="00A7463F" w:rsidRDefault="00A7463F" w:rsidP="00A7463F">
      <w:pPr>
        <w:pStyle w:val="Body"/>
      </w:pPr>
      <w:r>
        <w:t>The 2003 Power Grid black is a good example a failure whose causes spanned computing sy</w:t>
      </w:r>
      <w:r>
        <w:t>s</w:t>
      </w:r>
      <w:r>
        <w:t xml:space="preserve">tems, operational practices, and operator failures.  In particular, the analysis team implicitly used system assurance techniques. </w:t>
      </w:r>
    </w:p>
    <w:p w14:paraId="3AFD726D" w14:textId="77777777" w:rsidR="00A7463F" w:rsidRDefault="00A7463F" w:rsidP="00A7463F">
      <w:pPr>
        <w:pStyle w:val="Body"/>
      </w:pPr>
      <w:r>
        <w:t>An event-based causal analysis is often used for a hardware failure. Such an analysis identifies the sequence of events that preceded the failure, which are then analyzed to identify a root cause. But such an event-based analysis for failure with a complex system can be misleading. Leveson’s analysis of safety failures showed that the causes were frequently the</w:t>
      </w:r>
      <w:r w:rsidRPr="00022D7D">
        <w:t xml:space="preserve"> concur</w:t>
      </w:r>
      <w:r>
        <w:t>rent occurrence</w:t>
      </w:r>
      <w:r w:rsidRPr="00022D7D">
        <w:t xml:space="preserve"> of several events. The absence of any one of those events would have prevented the failure</w:t>
      </w:r>
      <w:r>
        <w:t xml:space="preserve">. </w:t>
      </w:r>
    </w:p>
    <w:p w14:paraId="7B8F8D8C" w14:textId="7DFCC0F4" w:rsidR="00C70A70" w:rsidRDefault="00C70A70" w:rsidP="00A7463F">
      <w:pPr>
        <w:pStyle w:val="Body"/>
      </w:pPr>
      <w:r>
        <w:t xml:space="preserve">Many security failures have a root cause such as one of the CWE weaknesses. But with complex systems a security failure can involve multiple factors. </w:t>
      </w:r>
    </w:p>
    <w:p w14:paraId="281B9325" w14:textId="77777777" w:rsidR="00A7463F" w:rsidRDefault="00A7463F" w:rsidP="00A7463F">
      <w:pPr>
        <w:pStyle w:val="Body"/>
      </w:pPr>
      <w:r>
        <w:t>As example of the weaknesses of an event-based analysis for complex systems, consider the r</w:t>
      </w:r>
      <w:r>
        <w:t>e</w:t>
      </w:r>
      <w:r>
        <w:t>lease of methyl isocyanate (MIC) from a Union Carbide chemical plant in Bhopal, India in 1984. A relatively new worker had to wash out some pipes and filters that were clogged. MIC produces large amounts of heat when in contact with water, and the worker did close the valves to isolate the MIC tanks from the pipes and filters being washed. However, a required safety disk which backed up the valves in case they leaked was not inserted. The valves did leak—which lead to 2,000 fatalities and 10,000 permanent injuries. The analysis identified the root cause as an oper</w:t>
      </w:r>
      <w:r>
        <w:t>a</w:t>
      </w:r>
      <w:r>
        <w:t>tor error. Charles Perrow’s</w:t>
      </w:r>
      <w:r>
        <w:rPr>
          <w:rStyle w:val="FootnoteReference"/>
          <w:i/>
        </w:rPr>
        <w:footnoteReference w:id="2"/>
      </w:r>
      <w:r>
        <w:t xml:space="preserve"> analysis of the Bhopal incident concluded that there was no root cause, and that </w:t>
      </w:r>
      <w:r w:rsidRPr="0086629B">
        <w:t>given</w:t>
      </w:r>
      <w:r>
        <w:t xml:space="preserve"> </w:t>
      </w:r>
      <w:r w:rsidRPr="0086629B">
        <w:t>the design and operating conditions of the plant, an accident was just wai</w:t>
      </w:r>
      <w:r w:rsidRPr="0086629B">
        <w:t>t</w:t>
      </w:r>
      <w:r w:rsidRPr="0086629B">
        <w:t>ing to happen.</w:t>
      </w:r>
      <w:r>
        <w:t xml:space="preserve"> His argument was</w:t>
      </w:r>
    </w:p>
    <w:p w14:paraId="44E8BA39" w14:textId="77777777" w:rsidR="00A7463F" w:rsidRDefault="00A7463F" w:rsidP="00A7463F">
      <w:pPr>
        <w:pStyle w:val="ListMultilist1"/>
      </w:pPr>
      <w:r w:rsidRPr="00B44FCD">
        <w:t xml:space="preserve">However [water] got in, it would not have caused the severe explosion </w:t>
      </w:r>
    </w:p>
    <w:p w14:paraId="2F3CF6FF" w14:textId="77777777" w:rsidR="00A7463F" w:rsidRDefault="00A7463F" w:rsidP="00A7463F">
      <w:pPr>
        <w:pStyle w:val="ListBulleted2"/>
      </w:pPr>
      <w:r w:rsidRPr="00B44FCD">
        <w:t xml:space="preserve">had the refrigeration unit not been disconnected and drained of Freon, </w:t>
      </w:r>
    </w:p>
    <w:p w14:paraId="50DC69C1" w14:textId="77777777" w:rsidR="00A7463F" w:rsidRDefault="00A7463F" w:rsidP="00A7463F">
      <w:pPr>
        <w:pStyle w:val="ListBulleted2"/>
      </w:pPr>
      <w:r w:rsidRPr="00B44FCD">
        <w:lastRenderedPageBreak/>
        <w:t>or had various steps been taken at the first smell of MIC instead of be</w:t>
      </w:r>
      <w:r>
        <w:t>ing put off until the tea break</w:t>
      </w:r>
      <w:r w:rsidRPr="00B44FCD">
        <w:t xml:space="preserve">, </w:t>
      </w:r>
    </w:p>
    <w:p w14:paraId="32D1F824" w14:textId="77777777" w:rsidR="00A7463F" w:rsidRDefault="00A7463F" w:rsidP="00A7463F">
      <w:pPr>
        <w:pStyle w:val="ListBulleted2"/>
      </w:pPr>
      <w:r w:rsidRPr="00B44FCD">
        <w:t xml:space="preserve">or had the scrubber been in service, </w:t>
      </w:r>
    </w:p>
    <w:p w14:paraId="3C294D8D" w14:textId="77777777" w:rsidR="00A7463F" w:rsidRDefault="00A7463F" w:rsidP="00A7463F">
      <w:pPr>
        <w:pStyle w:val="ListBulleted2"/>
      </w:pPr>
      <w:r w:rsidRPr="00B44FCD">
        <w:t xml:space="preserve">or had the water sprays been designed to go high enough to douse the emissions, </w:t>
      </w:r>
    </w:p>
    <w:p w14:paraId="1790F736" w14:textId="77777777" w:rsidR="00A7463F" w:rsidRDefault="00A7463F" w:rsidP="00A7463F">
      <w:pPr>
        <w:pStyle w:val="ListBulleted2"/>
      </w:pPr>
      <w:r w:rsidRPr="00B44FCD">
        <w:t>or had the flare tower been working and been of sufficient capac</w:t>
      </w:r>
      <w:r>
        <w:t>ity to handle a large e</w:t>
      </w:r>
      <w:r>
        <w:t>x</w:t>
      </w:r>
      <w:r>
        <w:t>cursion.</w:t>
      </w:r>
    </w:p>
    <w:p w14:paraId="5A515CD8" w14:textId="5C1311A7" w:rsidR="00A7463F" w:rsidRDefault="00A7463F" w:rsidP="00A7463F">
      <w:pPr>
        <w:pStyle w:val="Body"/>
      </w:pPr>
      <w:r>
        <w:t xml:space="preserve">The 2003 power grid blackout was a reliability failure for the power grid control system for an Ohio utility. There had only been minor errors encountered with that control system, and hence </w:t>
      </w:r>
      <w:r w:rsidR="0059760F">
        <w:t xml:space="preserve">model-based reliability </w:t>
      </w:r>
      <w:r w:rsidR="0045144A">
        <w:t xml:space="preserve">analysis </w:t>
      </w:r>
      <w:r w:rsidR="0059760F">
        <w:t>would have predicted high reliability</w:t>
      </w:r>
      <w:r w:rsidR="0045144A">
        <w:t>.</w:t>
      </w:r>
      <w:r>
        <w:t xml:space="preserve"> This section describes the engineering review that followed the blackout that came to the </w:t>
      </w:r>
      <w:r w:rsidR="0059760F">
        <w:t>conclusion that the conditions were poor enough that a black-out was ready to happen</w:t>
      </w:r>
      <w:r w:rsidR="0045144A">
        <w:t>.</w:t>
      </w:r>
      <w:r>
        <w:t xml:space="preserve"> That review considered the blackout as a software assurance failure and implicitly developed an assurance case to identify the system weaknesses.</w:t>
      </w:r>
    </w:p>
    <w:p w14:paraId="7E63A86D" w14:textId="77777777" w:rsidR="00A7463F" w:rsidRPr="00AD6D92" w:rsidRDefault="00A7463F" w:rsidP="00A7463F">
      <w:pPr>
        <w:pStyle w:val="Heading2"/>
      </w:pPr>
      <w:r>
        <w:t xml:space="preserve"> </w:t>
      </w:r>
      <w:bookmarkStart w:id="9" w:name="_Toc383705571"/>
      <w:bookmarkStart w:id="10" w:name="_Toc388442946"/>
      <w:r>
        <w:t>The Power Grid Failure</w:t>
      </w:r>
      <w:bookmarkEnd w:id="9"/>
      <w:bookmarkEnd w:id="10"/>
    </w:p>
    <w:p w14:paraId="50415542" w14:textId="77777777" w:rsidR="00A7463F" w:rsidRDefault="00A7463F" w:rsidP="00A7463F">
      <w:pPr>
        <w:pStyle w:val="Body"/>
      </w:pPr>
      <w:r w:rsidRPr="00172F22">
        <w:t>On August 14, 2003, approximately 50 million electricity consumers in Canada and the northeas</w:t>
      </w:r>
      <w:r w:rsidRPr="00172F22">
        <w:t>t</w:t>
      </w:r>
      <w:r w:rsidRPr="00172F22">
        <w:t xml:space="preserve">ern U.S. were subject to a cascading blackout. </w:t>
      </w:r>
      <w:r>
        <w:t xml:space="preserve">The events preceding the blackout included a </w:t>
      </w:r>
      <w:r w:rsidRPr="00172F22">
        <w:t>mi</w:t>
      </w:r>
      <w:r w:rsidRPr="00172F22">
        <w:t>s</w:t>
      </w:r>
      <w:r w:rsidRPr="00172F22">
        <w:t xml:space="preserve">take by tree trimmers in Ohio </w:t>
      </w:r>
      <w:r>
        <w:t xml:space="preserve">that </w:t>
      </w:r>
      <w:r w:rsidRPr="00172F22">
        <w:t>took three hig</w:t>
      </w:r>
      <w:r>
        <w:t>h-voltage lines out of service and a software fai</w:t>
      </w:r>
      <w:r>
        <w:t>l</w:t>
      </w:r>
      <w:r>
        <w:t>ure (a race condition</w:t>
      </w:r>
      <w:r>
        <w:rPr>
          <w:rStyle w:val="FootnoteReference"/>
        </w:rPr>
        <w:footnoteReference w:id="3"/>
      </w:r>
      <w:r>
        <w:t xml:space="preserve">) that disabled the computing service that notified the power grid operators of changes in power grid conditions. </w:t>
      </w:r>
      <w:r w:rsidRPr="00AC73C6">
        <w:t xml:space="preserve">With the alarm function disabled, the power grid operators did not notice a </w:t>
      </w:r>
      <w:r>
        <w:t>sequence</w:t>
      </w:r>
      <w:r w:rsidRPr="00AC73C6">
        <w:t xml:space="preserve"> of power grid</w:t>
      </w:r>
      <w:r>
        <w:t xml:space="preserve"> failures that eventually lead to the blackout [NERC 2004]. </w:t>
      </w:r>
    </w:p>
    <w:p w14:paraId="7570A1F6" w14:textId="77777777" w:rsidR="00A7463F" w:rsidRDefault="00A7463F" w:rsidP="00A7463F">
      <w:pPr>
        <w:pStyle w:val="Body"/>
      </w:pPr>
      <w:r>
        <w:t xml:space="preserve">The technical analysis of the blackout explicitly rejected tree-trimming practices and the software race condition as root causes. Instead if we phrase the conclusion like Perrow’s, it would be </w:t>
      </w:r>
    </w:p>
    <w:p w14:paraId="7D02442A" w14:textId="77777777" w:rsidR="00A7463F" w:rsidRPr="00F409D5" w:rsidRDefault="00A7463F" w:rsidP="00A7463F">
      <w:pPr>
        <w:pStyle w:val="ListMultilist1"/>
      </w:pPr>
      <w:r w:rsidRPr="00F409D5">
        <w:t xml:space="preserve">However the alarm server failed the blackout would not have occurred </w:t>
      </w:r>
    </w:p>
    <w:p w14:paraId="5AFDEB61" w14:textId="77777777" w:rsidR="00A7463F" w:rsidRDefault="00A7463F" w:rsidP="00A7463F">
      <w:pPr>
        <w:pStyle w:val="ListBulleted2"/>
      </w:pPr>
      <w:r w:rsidRPr="003E7F0A">
        <w:t xml:space="preserve">if the operators had not been unaware of the alarm server failure, </w:t>
      </w:r>
    </w:p>
    <w:p w14:paraId="5A3BC646" w14:textId="77777777" w:rsidR="00A7463F" w:rsidRDefault="00A7463F" w:rsidP="00A7463F">
      <w:pPr>
        <w:pStyle w:val="ListBulleted2"/>
      </w:pPr>
      <w:r w:rsidRPr="003E7F0A">
        <w:t xml:space="preserve">or if a regional power grid monitor had not failed, </w:t>
      </w:r>
    </w:p>
    <w:p w14:paraId="423243B2" w14:textId="77777777" w:rsidR="00A7463F" w:rsidRDefault="00A7463F" w:rsidP="00A7463F">
      <w:pPr>
        <w:pStyle w:val="ListBulleted2"/>
      </w:pPr>
      <w:r w:rsidRPr="003E7F0A">
        <w:t>or if the recovery of the alarm</w:t>
      </w:r>
      <w:r>
        <w:t xml:space="preserve"> service had not failed, </w:t>
      </w:r>
    </w:p>
    <w:p w14:paraId="1D5BDC75" w14:textId="77777777" w:rsidR="00A7463F" w:rsidRDefault="00A7463F" w:rsidP="00A7463F">
      <w:pPr>
        <w:pStyle w:val="ListBulleted2"/>
      </w:pPr>
      <w:r>
        <w:t xml:space="preserve">or …... </w:t>
      </w:r>
      <w:r w:rsidRPr="009E1929">
        <w:t>[NERC 2004]</w:t>
      </w:r>
    </w:p>
    <w:p w14:paraId="68253158" w14:textId="77777777" w:rsidR="00A7463F" w:rsidRDefault="00A7463F" w:rsidP="00A7463F">
      <w:pPr>
        <w:pStyle w:val="Body"/>
      </w:pPr>
      <w:r>
        <w:t xml:space="preserve">A basic understanding power grid reliability requirements and monitoring capabilities is required to analyze the causes and mitigations for the blackout. </w:t>
      </w:r>
      <w:r w:rsidRPr="00DB7D45">
        <w:t xml:space="preserve">Power grid operators </w:t>
      </w:r>
      <w:r>
        <w:t xml:space="preserve">typically </w:t>
      </w:r>
      <w:r w:rsidRPr="00DB7D45">
        <w:t xml:space="preserve">have </w:t>
      </w:r>
      <w:r>
        <w:t>30</w:t>
      </w:r>
      <w:r w:rsidRPr="00DB7D45">
        <w:t xml:space="preserve"> to </w:t>
      </w:r>
      <w:r>
        <w:t>60 minutes to respond to an alarm raised because a generator is out of service or adverse cond</w:t>
      </w:r>
      <w:r>
        <w:t>i</w:t>
      </w:r>
      <w:r>
        <w:t>tions have led to transmission lines being automatically disconnected from the power grid. The technical analysis sponsored by the North American Electric Reliability Corporation (NERC) provides the following summary of the reliability requirements and power grid monitoring activ</w:t>
      </w:r>
      <w:r>
        <w:t>i</w:t>
      </w:r>
      <w:r>
        <w:t>ties.</w:t>
      </w:r>
    </w:p>
    <w:p w14:paraId="75E2E9B0" w14:textId="77777777" w:rsidR="00A7463F" w:rsidRDefault="00A7463F" w:rsidP="00A7463F">
      <w:pPr>
        <w:pStyle w:val="ListMultilist1"/>
      </w:pPr>
      <w:r w:rsidRPr="00BF19E7">
        <w:rPr>
          <w:b/>
        </w:rPr>
        <w:lastRenderedPageBreak/>
        <w:t>Reliability requirement:</w:t>
      </w:r>
      <w:r w:rsidRPr="00BF19E7">
        <w:t xml:space="preserve"> The electricity industry has developed and codified a set of mut</w:t>
      </w:r>
      <w:r w:rsidRPr="00BF19E7">
        <w:t>u</w:t>
      </w:r>
      <w:r w:rsidRPr="00BF19E7">
        <w:t>ally reinforcing reliability standards and practices to ensure that system operators are pr</w:t>
      </w:r>
      <w:r w:rsidRPr="00BF19E7">
        <w:t>e</w:t>
      </w:r>
      <w:r w:rsidRPr="00BF19E7">
        <w:t>pared to deal with unexpected system events. The basic assumption underlying these stan</w:t>
      </w:r>
      <w:r w:rsidRPr="00BF19E7">
        <w:t>d</w:t>
      </w:r>
      <w:r w:rsidRPr="00BF19E7">
        <w:t>ards and practices is that power system elements will fail or become unavailable in unpredictable ways. The basic principle of reliability management is that “operators must operate to maintain the safety of the system they have available.”</w:t>
      </w:r>
    </w:p>
    <w:p w14:paraId="1D2BF449" w14:textId="77777777" w:rsidR="00A7463F" w:rsidRDefault="00A7463F" w:rsidP="00A7463F">
      <w:pPr>
        <w:pStyle w:val="ListMultilist1"/>
      </w:pPr>
      <w:r w:rsidRPr="00BF19E7">
        <w:rPr>
          <w:b/>
        </w:rPr>
        <w:t>Power grid monitoring:</w:t>
      </w:r>
      <w:r>
        <w:t xml:space="preserve"> It is common for reliability coordinators and control areas to use a state estimator to monitor the power system to improve the accuracy over raw telemetered data. The raw data are processed mathematically to make a “best fit” power flow model, which can then be used in other software applications, such as real-time contingency anal</w:t>
      </w:r>
      <w:r>
        <w:t>y</w:t>
      </w:r>
      <w:r>
        <w:t>sis, to simulate various conditions and outages to evaluate the reliability of the power sy</w:t>
      </w:r>
      <w:r>
        <w:t>s</w:t>
      </w:r>
      <w:r>
        <w:t>tem. Real-time contingency analysis is used to alert operators if the system is operating ins</w:t>
      </w:r>
      <w:r>
        <w:t>e</w:t>
      </w:r>
      <w:r>
        <w:t>curely; it can be run either on a regular schedule (e.g., every five minutes), when triggered by some system event (e.g., the loss of a power plant or transmission line), or when initiated by an operator [NERC 2004].</w:t>
      </w:r>
    </w:p>
    <w:p w14:paraId="3A4744D9" w14:textId="77777777" w:rsidR="00A7463F" w:rsidRPr="00DC530D" w:rsidRDefault="00A7463F" w:rsidP="00A7463F">
      <w:pPr>
        <w:pStyle w:val="Heading3"/>
      </w:pPr>
      <w:bookmarkStart w:id="11" w:name="_Toc383705572"/>
      <w:bookmarkStart w:id="12" w:name="_Toc388442947"/>
      <w:r>
        <w:t>Software Assurance Analysis</w:t>
      </w:r>
      <w:bookmarkEnd w:id="11"/>
      <w:bookmarkEnd w:id="12"/>
    </w:p>
    <w:p w14:paraId="5B2918BD" w14:textId="77777777" w:rsidR="00A7463F" w:rsidRDefault="00A7463F" w:rsidP="00A7463F">
      <w:pPr>
        <w:pStyle w:val="Body"/>
      </w:pPr>
      <w:r>
        <w:t xml:space="preserve">The software subsystem that </w:t>
      </w:r>
      <w:r w:rsidRPr="00C8436D">
        <w:t>provided audible and visual indications when a significant piece of equipment changed from an acceptable to prob</w:t>
      </w:r>
      <w:r>
        <w:t xml:space="preserve">lematic status failed at 14:14. </w:t>
      </w:r>
    </w:p>
    <w:p w14:paraId="52A6F7AE" w14:textId="77777777" w:rsidR="00A7463F" w:rsidRDefault="00A7463F" w:rsidP="00A7463F">
      <w:pPr>
        <w:pStyle w:val="ListBulleted1"/>
        <w:tabs>
          <w:tab w:val="num" w:pos="360"/>
        </w:tabs>
        <w:ind w:left="360" w:hanging="360"/>
      </w:pPr>
      <w:r>
        <w:t xml:space="preserve">The data required to manage the utility’s power grid continued to be updated on a </w:t>
      </w:r>
      <w:r w:rsidRPr="00EF560B">
        <w:t>power grid operator’s control computer</w:t>
      </w:r>
      <w:r>
        <w:t>.</w:t>
      </w:r>
    </w:p>
    <w:p w14:paraId="6A78B310" w14:textId="77777777" w:rsidR="00A7463F" w:rsidRDefault="00A7463F" w:rsidP="00A7463F">
      <w:pPr>
        <w:pStyle w:val="ListBulleted1"/>
        <w:tabs>
          <w:tab w:val="num" w:pos="360"/>
        </w:tabs>
        <w:ind w:left="360" w:hanging="360"/>
      </w:pPr>
      <w:r>
        <w:t xml:space="preserve">After the server failure the power grid operator’s </w:t>
      </w:r>
      <w:r w:rsidRPr="00284168">
        <w:t>displays did not receive any further alarms, nor were any alarms</w:t>
      </w:r>
      <w:r>
        <w:t xml:space="preserve"> being printed or posted on the</w:t>
      </w:r>
      <w:r w:rsidRPr="00284168">
        <w:t xml:space="preserve"> alarm logging facilities.</w:t>
      </w:r>
      <w:r>
        <w:t xml:space="preserve"> </w:t>
      </w:r>
    </w:p>
    <w:p w14:paraId="337A5962" w14:textId="77777777" w:rsidR="00A7463F" w:rsidRDefault="00A7463F" w:rsidP="00A7463F">
      <w:pPr>
        <w:pStyle w:val="ListBulleted1"/>
        <w:tabs>
          <w:tab w:val="num" w:pos="360"/>
        </w:tabs>
        <w:ind w:left="360" w:hanging="360"/>
      </w:pPr>
      <w:r>
        <w:t xml:space="preserve">The power grid operators assumed that alarm service was operating and did not observe that system conditions were changing. </w:t>
      </w:r>
    </w:p>
    <w:p w14:paraId="617E2A39" w14:textId="7D863864" w:rsidR="00AA5D39" w:rsidRDefault="00AA5D39" w:rsidP="00AA5D39">
      <w:pPr>
        <w:pStyle w:val="Heading1"/>
      </w:pPr>
      <w:bookmarkStart w:id="13" w:name="_Toc388442948"/>
      <w:r>
        <w:lastRenderedPageBreak/>
        <w:t>Module: Risk Management</w:t>
      </w:r>
      <w:bookmarkEnd w:id="13"/>
    </w:p>
    <w:p w14:paraId="5874A556" w14:textId="675AE716" w:rsidR="001A4CFE" w:rsidRDefault="008D5DFC" w:rsidP="001A4CFE">
      <w:pPr>
        <w:pStyle w:val="Body"/>
      </w:pPr>
      <w:r>
        <w:t xml:space="preserve">Threat modeling is used as an example of risk management </w:t>
      </w:r>
      <w:r w:rsidR="00032AD3">
        <w:t xml:space="preserve">as </w:t>
      </w:r>
      <w:r>
        <w:t>applied to</w:t>
      </w:r>
      <w:r w:rsidR="00032AD3">
        <w:t xml:space="preserve"> application</w:t>
      </w:r>
      <w:r>
        <w:t xml:space="preserve"> development.</w:t>
      </w:r>
      <w:r w:rsidR="00C70A70">
        <w:t xml:space="preserve"> </w:t>
      </w:r>
      <w:r w:rsidR="001A4CFE">
        <w:t>The article from Microsoft authors provides a quick refresh on threat modeling concepts.</w:t>
      </w:r>
    </w:p>
    <w:p w14:paraId="71DB4D6D" w14:textId="084EC581" w:rsidR="001A4CFE" w:rsidRPr="00F3707D" w:rsidRDefault="001A4CFE" w:rsidP="00EF1CF9">
      <w:pPr>
        <w:pStyle w:val="Quotation"/>
      </w:pPr>
      <w:r>
        <w:t xml:space="preserve"> “Uncover Security Design Flaws Using </w:t>
      </w:r>
      <w:r w:rsidR="0045144A">
        <w:t>the</w:t>
      </w:r>
      <w:r>
        <w:t xml:space="preserve"> STRIDE Approach</w:t>
      </w:r>
      <w:r w:rsidR="0045144A">
        <w:t xml:space="preserve">” </w:t>
      </w:r>
      <w:hyperlink r:id="rId22" w:history="1">
        <w:r w:rsidRPr="009F3742">
          <w:rPr>
            <w:rStyle w:val="Hyperlink"/>
          </w:rPr>
          <w:t>http://msdn.microsoft.com/en-us/magazine/cc163519.aspx</w:t>
        </w:r>
      </w:hyperlink>
      <w:r>
        <w:t xml:space="preserve"> </w:t>
      </w:r>
    </w:p>
    <w:p w14:paraId="73277964" w14:textId="35E002E0" w:rsidR="001A4CFE" w:rsidRDefault="00C70A70" w:rsidP="008D5DFC">
      <w:pPr>
        <w:pStyle w:val="Body"/>
      </w:pPr>
      <w:r>
        <w:t>The Dan Geer tutor</w:t>
      </w:r>
      <w:r w:rsidR="001A4CFE">
        <w:t>ial on metrics is excellent.</w:t>
      </w:r>
      <w:r w:rsidR="001A4CFE" w:rsidRPr="001A4CFE">
        <w:t xml:space="preserve"> </w:t>
      </w:r>
      <w:hyperlink r:id="rId23" w:history="1">
        <w:r w:rsidR="001A4CFE" w:rsidRPr="009F3742">
          <w:rPr>
            <w:rStyle w:val="Hyperlink"/>
          </w:rPr>
          <w:t>http://geer.tinho.net/measuringsecurity.tutorial.pdf</w:t>
        </w:r>
      </w:hyperlink>
      <w:r w:rsidR="001A4CFE">
        <w:t>. Other good Geer articles include</w:t>
      </w:r>
    </w:p>
    <w:p w14:paraId="7694647D" w14:textId="641A393E" w:rsidR="001A4CFE" w:rsidRDefault="00BC0435" w:rsidP="00EF1CF9">
      <w:pPr>
        <w:pStyle w:val="Quotation"/>
      </w:pPr>
      <w:r>
        <w:t>“</w:t>
      </w:r>
      <w:r w:rsidR="001A4CFE" w:rsidRPr="001A4CFE">
        <w:t>Attack Surface Inflation</w:t>
      </w:r>
      <w:r>
        <w:t>”</w:t>
      </w:r>
      <w:r w:rsidR="001A4CFE">
        <w:t>, Security and Privacy, August/September 2011</w:t>
      </w:r>
    </w:p>
    <w:p w14:paraId="35B01EA1" w14:textId="5DF19EE4" w:rsidR="001A4CFE" w:rsidRDefault="00BC0435" w:rsidP="00EF1CF9">
      <w:pPr>
        <w:pStyle w:val="Quotation"/>
      </w:pPr>
      <w:r>
        <w:t>“</w:t>
      </w:r>
      <w:r w:rsidR="001A4CFE" w:rsidRPr="001A4CFE">
        <w:t>Advanced persistent threat</w:t>
      </w:r>
      <w:r>
        <w:t>”</w:t>
      </w:r>
      <w:r w:rsidR="0045144A">
        <w:t xml:space="preserve">, </w:t>
      </w:r>
      <w:hyperlink r:id="rId24" w:history="1">
        <w:r w:rsidRPr="009F3742">
          <w:rPr>
            <w:rStyle w:val="Hyperlink"/>
          </w:rPr>
          <w:t>http://www.networkworld.com/news/tech/2010/041210-tech-update.html</w:t>
        </w:r>
      </w:hyperlink>
    </w:p>
    <w:p w14:paraId="64C46895" w14:textId="40BAC374" w:rsidR="00C8222E" w:rsidRPr="00C8222E" w:rsidRDefault="00C6293A" w:rsidP="00046F1D">
      <w:pPr>
        <w:pStyle w:val="Body"/>
      </w:pPr>
      <w:r>
        <w:rPr>
          <w:b/>
        </w:rPr>
        <w:t xml:space="preserve">Exercises: </w:t>
      </w:r>
      <w:r w:rsidR="00283C08">
        <w:t>The examples in the lectures</w:t>
      </w:r>
      <w:r>
        <w:t xml:space="preserve"> represent risk analysis done after the event. Students could be asked to do such an exercise for a recently publicized compromise or for one that they have encountered. Group exercises </w:t>
      </w:r>
      <w:r w:rsidR="00046F1D">
        <w:t xml:space="preserve">are a good option for risk assessments as </w:t>
      </w:r>
      <w:r w:rsidR="00032AD3">
        <w:t xml:space="preserve">then </w:t>
      </w:r>
      <w:r w:rsidR="00046F1D">
        <w:t>knowledge of known risks</w:t>
      </w:r>
      <w:r w:rsidR="00032AD3">
        <w:t xml:space="preserve"> and mitigations</w:t>
      </w:r>
      <w:r w:rsidR="00283C08">
        <w:t xml:space="preserve"> can be shared among the team members.</w:t>
      </w:r>
    </w:p>
    <w:p w14:paraId="4026A606" w14:textId="4FE1AB32" w:rsidR="00AA5D39" w:rsidRDefault="00AA5D39" w:rsidP="00AA5D39">
      <w:pPr>
        <w:pStyle w:val="Heading1"/>
      </w:pPr>
      <w:bookmarkStart w:id="14" w:name="_Toc388442949"/>
      <w:r>
        <w:lastRenderedPageBreak/>
        <w:t>Module: Risk Management Process</w:t>
      </w:r>
      <w:bookmarkEnd w:id="14"/>
    </w:p>
    <w:p w14:paraId="028D91A1" w14:textId="419B1618" w:rsidR="001C64D8" w:rsidRDefault="001C64D8" w:rsidP="001C64D8">
      <w:pPr>
        <w:pStyle w:val="Body"/>
      </w:pPr>
      <w:r>
        <w:t xml:space="preserve">The </w:t>
      </w:r>
      <w:r w:rsidRPr="00046F1D">
        <w:t>Security Engineeri</w:t>
      </w:r>
      <w:r>
        <w:t xml:space="preserve">ng Risk Analysis (SERA) </w:t>
      </w:r>
      <w:r w:rsidR="00BC0435">
        <w:t>approach described</w:t>
      </w:r>
      <w:r>
        <w:t xml:space="preserve"> in Module 3 provides a ge</w:t>
      </w:r>
      <w:r>
        <w:t>n</w:t>
      </w:r>
      <w:r>
        <w:t>eral</w:t>
      </w:r>
      <w:r w:rsidR="00BC0435">
        <w:t xml:space="preserve"> risk management</w:t>
      </w:r>
      <w:r>
        <w:t xml:space="preserve"> framework </w:t>
      </w:r>
      <w:r w:rsidR="00BC0435">
        <w:t xml:space="preserve">that is applicable to </w:t>
      </w:r>
      <w:r>
        <w:t xml:space="preserve">managing business risks. </w:t>
      </w:r>
    </w:p>
    <w:p w14:paraId="301FE689" w14:textId="6A038A94" w:rsidR="00EF1693" w:rsidRDefault="00EF1693" w:rsidP="00EF1693">
      <w:pPr>
        <w:pStyle w:val="Body"/>
      </w:pPr>
      <w:r>
        <w:t xml:space="preserve">NIST 800-39, “Managing Information Security Risk” describes the risk management framework used by the US Federal Government include the Department of Defense.  </w:t>
      </w:r>
      <w:r>
        <w:cr/>
      </w:r>
    </w:p>
    <w:p w14:paraId="63BBB370" w14:textId="77777777" w:rsidR="00EF1693" w:rsidRDefault="00EF1693" w:rsidP="00EF1693">
      <w:pPr>
        <w:pStyle w:val="Body"/>
        <w:keepNext/>
      </w:pPr>
      <w:r>
        <w:rPr>
          <w:noProof/>
        </w:rPr>
        <w:drawing>
          <wp:inline distT="0" distB="0" distL="0" distR="0" wp14:anchorId="7A0809ED" wp14:editId="4C04D9C2">
            <wp:extent cx="3593694" cy="2496620"/>
            <wp:effectExtent l="0" t="0" r="6985" b="0"/>
            <wp:docPr id="5" name="Picture 5" descr="C:\Users\ellison\Documents\Working\To Do\CyberAssurance\Education\Lectures\NISTR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ison\Documents\Working\To Do\CyberAssurance\Education\Lectures\NISTRMF.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600333" cy="2501232"/>
                    </a:xfrm>
                    <a:prstGeom prst="rect">
                      <a:avLst/>
                    </a:prstGeom>
                    <a:noFill/>
                    <a:ln>
                      <a:noFill/>
                    </a:ln>
                  </pic:spPr>
                </pic:pic>
              </a:graphicData>
            </a:graphic>
          </wp:inline>
        </w:drawing>
      </w:r>
    </w:p>
    <w:p w14:paraId="24E83EA9" w14:textId="09CF6F08" w:rsidR="00EF1693" w:rsidRDefault="00EF1693" w:rsidP="00EF1693">
      <w:pPr>
        <w:pStyle w:val="Caption"/>
      </w:pPr>
      <w:r>
        <w:t xml:space="preserve">Figure </w:t>
      </w:r>
      <w:fldSimple w:instr=" SEQ Figure \* ARABIC ">
        <w:r w:rsidR="00EF1CF9">
          <w:rPr>
            <w:noProof/>
          </w:rPr>
          <w:t>1</w:t>
        </w:r>
      </w:fldSimple>
      <w:r w:rsidR="0045144A">
        <w:t>: NIST</w:t>
      </w:r>
      <w:r>
        <w:t xml:space="preserve"> Risk Management Framework</w:t>
      </w:r>
    </w:p>
    <w:p w14:paraId="57E9105B" w14:textId="2DBCEA36" w:rsidR="00283C08" w:rsidRDefault="00283C08" w:rsidP="00046F1D">
      <w:pPr>
        <w:pStyle w:val="Body"/>
      </w:pPr>
    </w:p>
    <w:p w14:paraId="4D981DC7" w14:textId="646F3C21" w:rsidR="00046F1D" w:rsidRDefault="00046F1D" w:rsidP="00046F1D">
      <w:pPr>
        <w:pStyle w:val="Body"/>
      </w:pPr>
      <w:r>
        <w:t xml:space="preserve">Sources for </w:t>
      </w:r>
      <w:r w:rsidR="001C64D8">
        <w:t>SERA</w:t>
      </w:r>
    </w:p>
    <w:p w14:paraId="728A53D3" w14:textId="77777777" w:rsidR="00046F1D" w:rsidRPr="00046F1D" w:rsidRDefault="00046F1D" w:rsidP="00046F1D">
      <w:pPr>
        <w:pStyle w:val="ListBulleted1"/>
      </w:pPr>
      <w:r w:rsidRPr="00046F1D">
        <w:t xml:space="preserve">Alberts, Christopher &amp; Dorofee, Audrey. </w:t>
      </w:r>
      <w:r w:rsidRPr="00046F1D">
        <w:rPr>
          <w:i/>
          <w:iCs/>
        </w:rPr>
        <w:t>Mission Risk Diagnostic (MRD) Method Descri</w:t>
      </w:r>
      <w:r w:rsidRPr="00046F1D">
        <w:rPr>
          <w:i/>
          <w:iCs/>
        </w:rPr>
        <w:t>p</w:t>
      </w:r>
      <w:r w:rsidRPr="00046F1D">
        <w:rPr>
          <w:i/>
          <w:iCs/>
        </w:rPr>
        <w:t>tion</w:t>
      </w:r>
      <w:r w:rsidRPr="00046F1D">
        <w:t xml:space="preserve"> (CMU/SEI-2012-TN-005). Software Engineering Institute, Carnegie Mellon University, 2012. </w:t>
      </w:r>
      <w:r w:rsidRPr="00046F1D">
        <w:br/>
      </w:r>
      <w:hyperlink r:id="rId26" w:history="1">
        <w:r w:rsidRPr="00046F1D">
          <w:rPr>
            <w:rStyle w:val="Hyperlink"/>
          </w:rPr>
          <w:t>http</w:t>
        </w:r>
      </w:hyperlink>
      <w:hyperlink r:id="rId27" w:history="1">
        <w:r w:rsidRPr="00046F1D">
          <w:rPr>
            <w:rStyle w:val="Hyperlink"/>
          </w:rPr>
          <w:t>://</w:t>
        </w:r>
      </w:hyperlink>
      <w:hyperlink r:id="rId28" w:history="1">
        <w:r w:rsidRPr="00046F1D">
          <w:rPr>
            <w:rStyle w:val="Hyperlink"/>
          </w:rPr>
          <w:t>www.sei.cmu.edu/reports/12tn005.pdf</w:t>
        </w:r>
      </w:hyperlink>
    </w:p>
    <w:p w14:paraId="3FBEB5AC" w14:textId="77777777" w:rsidR="00046F1D" w:rsidRDefault="00046F1D" w:rsidP="00046F1D">
      <w:pPr>
        <w:pStyle w:val="ListBulleted1"/>
      </w:pPr>
      <w:r w:rsidRPr="00046F1D">
        <w:t xml:space="preserve">Alberts, Christopher; Allen, Julia; &amp; Stoddard, Robert. </w:t>
      </w:r>
      <w:r w:rsidRPr="00046F1D">
        <w:rPr>
          <w:i/>
          <w:iCs/>
        </w:rPr>
        <w:t>Risk-Based Measurement and Anal</w:t>
      </w:r>
      <w:r w:rsidRPr="00046F1D">
        <w:rPr>
          <w:i/>
          <w:iCs/>
        </w:rPr>
        <w:t>y</w:t>
      </w:r>
      <w:r w:rsidRPr="00046F1D">
        <w:rPr>
          <w:i/>
          <w:iCs/>
        </w:rPr>
        <w:t>sis: Application to Software Security</w:t>
      </w:r>
      <w:r w:rsidRPr="00046F1D">
        <w:t xml:space="preserve"> (CMU/SEI-2012-TN-004), Software Engineering Inst</w:t>
      </w:r>
      <w:r w:rsidRPr="00046F1D">
        <w:t>i</w:t>
      </w:r>
      <w:r w:rsidRPr="00046F1D">
        <w:t xml:space="preserve">tute, Carnegie Mellon University, 2012. </w:t>
      </w:r>
      <w:hyperlink r:id="rId29" w:history="1">
        <w:r w:rsidRPr="00046F1D">
          <w:rPr>
            <w:rStyle w:val="Hyperlink"/>
          </w:rPr>
          <w:t>http</w:t>
        </w:r>
      </w:hyperlink>
      <w:hyperlink r:id="rId30" w:history="1">
        <w:r w:rsidRPr="00046F1D">
          <w:rPr>
            <w:rStyle w:val="Hyperlink"/>
          </w:rPr>
          <w:t>://</w:t>
        </w:r>
      </w:hyperlink>
      <w:hyperlink r:id="rId31" w:history="1">
        <w:r w:rsidRPr="00046F1D">
          <w:rPr>
            <w:rStyle w:val="Hyperlink"/>
          </w:rPr>
          <w:t>www.sei.cmu.edu/reports/12tn004.pdf</w:t>
        </w:r>
      </w:hyperlink>
    </w:p>
    <w:p w14:paraId="7893D305" w14:textId="77777777" w:rsidR="00046F1D" w:rsidRPr="00046F1D" w:rsidRDefault="00046F1D" w:rsidP="00046F1D">
      <w:pPr>
        <w:pStyle w:val="ListBulleted1"/>
      </w:pPr>
      <w:r w:rsidRPr="00046F1D">
        <w:t xml:space="preserve">Alberts, Christopher &amp; Dorofee, Audrey. </w:t>
      </w:r>
      <w:r w:rsidRPr="00046F1D">
        <w:rPr>
          <w:i/>
          <w:iCs/>
        </w:rPr>
        <w:t>A Framework for Categorizing Key Drivers of Risk</w:t>
      </w:r>
      <w:r w:rsidRPr="00046F1D">
        <w:t xml:space="preserve"> (CMU/SEI-2009-TR-007). Software Engineering Institute, Carnegie Mellon University, 2009. </w:t>
      </w:r>
      <w:hyperlink r:id="rId32" w:history="1">
        <w:r w:rsidRPr="00046F1D">
          <w:rPr>
            <w:rStyle w:val="Hyperlink"/>
          </w:rPr>
          <w:t>http://www.sei.cmu.edu/library/abstracts/reports/09tr007.cfm</w:t>
        </w:r>
      </w:hyperlink>
    </w:p>
    <w:p w14:paraId="5A1361FF" w14:textId="77777777" w:rsidR="00046F1D" w:rsidRDefault="00046F1D" w:rsidP="00046F1D">
      <w:pPr>
        <w:pStyle w:val="ListBulleted1"/>
      </w:pPr>
      <w:r w:rsidRPr="00046F1D">
        <w:t>SEI Mission Success in Complex Environments (CSE) Special Project</w:t>
      </w:r>
      <w:r w:rsidRPr="00046F1D">
        <w:br/>
      </w:r>
      <w:hyperlink r:id="rId33" w:history="1">
        <w:r w:rsidRPr="00046F1D">
          <w:rPr>
            <w:rStyle w:val="Hyperlink"/>
          </w:rPr>
          <w:t xml:space="preserve"> http://www.sei.cmu.edu/risk/</w:t>
        </w:r>
      </w:hyperlink>
    </w:p>
    <w:p w14:paraId="78E67987" w14:textId="1434A4B5" w:rsidR="0038205A" w:rsidRDefault="0038205A" w:rsidP="00EF1CF9">
      <w:pPr>
        <w:pStyle w:val="Body"/>
        <w:keepNext/>
      </w:pPr>
      <w:r>
        <w:lastRenderedPageBreak/>
        <w:t>The following is a case study that could be assigned as a team-based exercise.</w:t>
      </w:r>
    </w:p>
    <w:p w14:paraId="5C07A24C" w14:textId="77777777" w:rsidR="00FD05D3" w:rsidRPr="0038205A" w:rsidRDefault="00FA3BE1" w:rsidP="0038205A">
      <w:pPr>
        <w:pStyle w:val="ListBulleted1"/>
      </w:pPr>
      <w:r w:rsidRPr="0038205A">
        <w:t>Document the target of the analysis (i.e., software or system being developed) and describe how will be used during operations. (15%)</w:t>
      </w:r>
    </w:p>
    <w:p w14:paraId="2BEA3126" w14:textId="77777777" w:rsidR="00FD05D3" w:rsidRPr="0038205A" w:rsidRDefault="00FA3BE1" w:rsidP="0038205A">
      <w:pPr>
        <w:pStyle w:val="ListBulleted1"/>
      </w:pPr>
      <w:r w:rsidRPr="0038205A">
        <w:t>Select one risk scenario that you intend to analyze. Document the following for the selected risk: threat, consequence, and enablers (35%)</w:t>
      </w:r>
    </w:p>
    <w:p w14:paraId="526C5C17" w14:textId="77777777" w:rsidR="00FD05D3" w:rsidRPr="0038205A" w:rsidRDefault="00FA3BE1" w:rsidP="0038205A">
      <w:pPr>
        <w:pStyle w:val="ListBulleted1"/>
      </w:pPr>
      <w:r w:rsidRPr="0038205A">
        <w:t>Document a risk statement (in if-then format) for the selected risk. (10%)</w:t>
      </w:r>
    </w:p>
    <w:p w14:paraId="2215BDAB" w14:textId="77777777" w:rsidR="00FD05D3" w:rsidRPr="0038205A" w:rsidRDefault="00FA3BE1" w:rsidP="0038205A">
      <w:pPr>
        <w:pStyle w:val="ListBulleted1"/>
      </w:pPr>
      <w:r w:rsidRPr="0038205A">
        <w:t>Document mitigation actions for the selected risk. Identify actions that can be addressed du</w:t>
      </w:r>
      <w:r w:rsidRPr="0038205A">
        <w:t>r</w:t>
      </w:r>
      <w:r w:rsidRPr="0038205A">
        <w:t>ing development.  (35%)</w:t>
      </w:r>
    </w:p>
    <w:p w14:paraId="6EEBB9D6" w14:textId="64D9FED2" w:rsidR="00046F1D" w:rsidRPr="00046F1D" w:rsidRDefault="00FA3BE1" w:rsidP="00046F1D">
      <w:pPr>
        <w:pStyle w:val="ListBulleted1"/>
      </w:pPr>
      <w:r w:rsidRPr="0038205A">
        <w:t>Describe what insights you gained (if any) by applying the method. (5%)</w:t>
      </w:r>
    </w:p>
    <w:p w14:paraId="25BBFB70" w14:textId="5A5C4CF6" w:rsidR="00AA5D39" w:rsidRDefault="00AA5D39" w:rsidP="00AA5D39">
      <w:pPr>
        <w:pStyle w:val="Heading1"/>
      </w:pPr>
      <w:bookmarkStart w:id="15" w:name="_Toc388442950"/>
      <w:r>
        <w:lastRenderedPageBreak/>
        <w:t xml:space="preserve">Module: </w:t>
      </w:r>
      <w:r w:rsidR="00B34029">
        <w:t>Assurance Case</w:t>
      </w:r>
      <w:bookmarkEnd w:id="15"/>
    </w:p>
    <w:p w14:paraId="0BED0F45" w14:textId="371F6DE4" w:rsidR="006A3B81" w:rsidRDefault="00C55EDB" w:rsidP="008A461B">
      <w:pPr>
        <w:pStyle w:val="Heading2"/>
      </w:pPr>
      <w:bookmarkStart w:id="16" w:name="_Toc388442951"/>
      <w:r>
        <w:t>From</w:t>
      </w:r>
      <w:r w:rsidR="0038205A">
        <w:t xml:space="preserve"> Weakness</w:t>
      </w:r>
      <w:r>
        <w:t xml:space="preserve"> Removal</w:t>
      </w:r>
      <w:r w:rsidR="0038205A">
        <w:t xml:space="preserve"> (Static Analysis)</w:t>
      </w:r>
      <w:r>
        <w:t xml:space="preserve"> to </w:t>
      </w:r>
      <w:r w:rsidR="0038205A">
        <w:t xml:space="preserve">Weakness </w:t>
      </w:r>
      <w:r>
        <w:t>Prevention</w:t>
      </w:r>
      <w:bookmarkEnd w:id="16"/>
    </w:p>
    <w:p w14:paraId="3AB9AA29" w14:textId="1F66B720" w:rsidR="006A3B81" w:rsidRDefault="00EF1693" w:rsidP="006A3B81">
      <w:pPr>
        <w:pStyle w:val="Body"/>
      </w:pPr>
      <w:r>
        <w:t>This section includes</w:t>
      </w:r>
      <w:r w:rsidR="001C64D8">
        <w:t xml:space="preserve"> material developed </w:t>
      </w:r>
      <w:r w:rsidR="00D23831">
        <w:t>after the slides for the assurance case were written. A recommendation woul</w:t>
      </w:r>
      <w:r>
        <w:t xml:space="preserve">d be to present this content in advance of the </w:t>
      </w:r>
      <w:r w:rsidR="00D23831">
        <w:t xml:space="preserve">lectures on assurance cases. </w:t>
      </w:r>
    </w:p>
    <w:p w14:paraId="1B33B1D0" w14:textId="10D0D8F2" w:rsidR="006A3B81" w:rsidRDefault="006A3B81" w:rsidP="006A3B81">
      <w:pPr>
        <w:pStyle w:val="Body"/>
      </w:pPr>
      <w:r>
        <w:t xml:space="preserve">The Building Security In Maturity Model </w:t>
      </w:r>
      <w:r w:rsidR="0038205A">
        <w:t>(BSIMM) has Code Review as one</w:t>
      </w:r>
      <w:r>
        <w:t xml:space="preserve"> of its twelve pra</w:t>
      </w:r>
      <w:r>
        <w:t>c</w:t>
      </w:r>
      <w:r>
        <w:t>tice areas. Over 50 of the 67 firms whose security practices have been collected by BSIMM su</w:t>
      </w:r>
      <w:r>
        <w:t>r</w:t>
      </w:r>
      <w:r>
        <w:t>veys have automated code reviews</w:t>
      </w:r>
      <w:r>
        <w:rPr>
          <w:rStyle w:val="FootnoteReference"/>
        </w:rPr>
        <w:footnoteReference w:id="4"/>
      </w:r>
      <w:r>
        <w:t>. But as noted by McGraw, incorporating automated code analysis, into the development lifecycle encounters a number of issues of scale. The resource r</w:t>
      </w:r>
      <w:r>
        <w:t>e</w:t>
      </w:r>
      <w:r>
        <w:t xml:space="preserve">quirements have increased as these have matured to cover a broad range of vulnerabilities, and it may not be feasible to run them on a desktop computer. Scans can take two to three hours which makes it difficult to use them for agile development. </w:t>
      </w:r>
    </w:p>
    <w:p w14:paraId="118C2B1C" w14:textId="74EA5AF7" w:rsidR="006A3B81" w:rsidRDefault="006A3B81" w:rsidP="006A3B81">
      <w:pPr>
        <w:pStyle w:val="Body"/>
      </w:pPr>
      <w:r>
        <w:t xml:space="preserve">The </w:t>
      </w:r>
      <w:r w:rsidRPr="00414A79">
        <w:t>Consortium fo</w:t>
      </w:r>
      <w:r>
        <w:t>r IT: Software Quality (CISQ) has developed specifications for automating measurement for the reliability, security, performance efficiency, and maintainability which co</w:t>
      </w:r>
      <w:r>
        <w:t>m</w:t>
      </w:r>
      <w:r>
        <w:t>plements static analysis [CISQ 2012]</w:t>
      </w:r>
      <w:r w:rsidR="0059760F">
        <w:rPr>
          <w:rStyle w:val="FootnoteReference"/>
        </w:rPr>
        <w:footnoteReference w:id="5"/>
      </w:r>
      <w:r w:rsidR="0059760F">
        <w:t>.</w:t>
      </w:r>
      <w:r>
        <w:t xml:space="preserve"> The CISQ assessment of the structural quality of software is based on the analysis and measurements for violations of rules of good coding and practices that can be detected by analyzing the source code.</w:t>
      </w:r>
    </w:p>
    <w:p w14:paraId="495E8ADE" w14:textId="627A9E22" w:rsidR="006A3B81" w:rsidRDefault="006A3B81" w:rsidP="006A3B81">
      <w:pPr>
        <w:pStyle w:val="Body"/>
      </w:pPr>
      <w:r>
        <w:t xml:space="preserve">The good coding and practices </w:t>
      </w:r>
      <w:r w:rsidR="00032AD3">
        <w:t xml:space="preserve">rules </w:t>
      </w:r>
      <w:r>
        <w:t xml:space="preserve">are called Quality Rules. The Quality Rules for security </w:t>
      </w:r>
      <w:r w:rsidR="00032AD3">
        <w:t>a</w:t>
      </w:r>
      <w:r w:rsidR="00C20CD5">
        <w:t>re drawn from the CWE as those</w:t>
      </w:r>
      <w:r w:rsidR="00032AD3">
        <w:t xml:space="preserve"> </w:t>
      </w:r>
      <w:r>
        <w:t>weaknesses are examples of violations of good practices.  For e</w:t>
      </w:r>
      <w:r>
        <w:t>x</w:t>
      </w:r>
      <w:r>
        <w:t>ample, CWE-129 is improper validation of an array index. CISQ selected CWE entries associated with vulnerabilities in the CWE/SANS 25 and the OWASP Top Ten list</w:t>
      </w:r>
      <w:r w:rsidR="00C55EDB">
        <w:t>s.</w:t>
      </w:r>
    </w:p>
    <w:p w14:paraId="4B023B3E" w14:textId="3B562FFB" w:rsidR="006A3B81" w:rsidRDefault="006A3B81" w:rsidP="006A3B81">
      <w:pPr>
        <w:pStyle w:val="Body"/>
      </w:pPr>
      <w:r>
        <w:t>Consider a subset of the CISQ security rules that appear in</w:t>
      </w:r>
      <w:r w:rsidR="00EF1CF9">
        <w:t xml:space="preserve"> </w:t>
      </w:r>
      <w:r w:rsidR="00EF1CF9">
        <w:fldChar w:fldCharType="begin"/>
      </w:r>
      <w:r w:rsidR="00EF1CF9">
        <w:instrText xml:space="preserve"> REF _Ref386556818 \h </w:instrText>
      </w:r>
      <w:r w:rsidR="00EF1CF9">
        <w:fldChar w:fldCharType="separate"/>
      </w:r>
      <w:r w:rsidR="00EF1CF9">
        <w:t xml:space="preserve">Table </w:t>
      </w:r>
      <w:r w:rsidR="00EF1CF9">
        <w:rPr>
          <w:noProof/>
        </w:rPr>
        <w:t>1</w:t>
      </w:r>
      <w:r w:rsidR="00EF1CF9">
        <w:fldChar w:fldCharType="end"/>
      </w:r>
      <w:r>
        <w:t>. The CWE describes multiple ways to mitigate many of the weaknesses. For example, consider Rule 2. A Standard Query La</w:t>
      </w:r>
      <w:r>
        <w:t>n</w:t>
      </w:r>
      <w:r>
        <w:t>guage (SQL) injection occurs when user input is used to construct a database query written in SQL. A poorly written input validation function can enable an attacker to access, change, or add entries to the database by including SQL expressions in the input provide.  An experience pr</w:t>
      </w:r>
      <w:r>
        <w:t>o</w:t>
      </w:r>
      <w:r>
        <w:t xml:space="preserve">grammer </w:t>
      </w:r>
      <w:r w:rsidR="00032AD3">
        <w:t xml:space="preserve">should be able to </w:t>
      </w:r>
      <w:r>
        <w:t>write an input routine that identifies SQL e</w:t>
      </w:r>
      <w:r>
        <w:t>x</w:t>
      </w:r>
      <w:r>
        <w:t>pressions in the input da</w:t>
      </w:r>
      <w:r w:rsidR="00032AD3">
        <w:t>ta. It can be</w:t>
      </w:r>
      <w:r>
        <w:t xml:space="preserve"> difficult to </w:t>
      </w:r>
      <w:r w:rsidR="00032AD3">
        <w:t>automatically verify that a programmer-</w:t>
      </w:r>
      <w:r>
        <w:t>written routine prevents a SQL Inje</w:t>
      </w:r>
      <w:r>
        <w:t>c</w:t>
      </w:r>
      <w:r>
        <w:t>tion. I</w:t>
      </w:r>
      <w:r>
        <w:t>n</w:t>
      </w:r>
      <w:r>
        <w:t>stead CIAQ Quality Rule follows the CWE mitigation to use a vetted library or framework that is known to mi</w:t>
      </w:r>
      <w:r w:rsidR="00032AD3">
        <w:t>tigate this vulnerability. Val</w:t>
      </w:r>
      <w:r w:rsidR="00032AD3">
        <w:t>i</w:t>
      </w:r>
      <w:r w:rsidR="00032AD3">
        <w:t>dating the</w:t>
      </w:r>
      <w:r>
        <w:t xml:space="preserve"> using such a library can be automated and in addition </w:t>
      </w:r>
      <w:r w:rsidR="00032AD3">
        <w:t xml:space="preserve">the use of that library </w:t>
      </w:r>
      <w:r>
        <w:t>does not require the coder to have extensive security expe</w:t>
      </w:r>
      <w:r>
        <w:t>r</w:t>
      </w:r>
      <w:r>
        <w:t>tise.</w:t>
      </w:r>
    </w:p>
    <w:p w14:paraId="2FA79623" w14:textId="18EBF6CF" w:rsidR="006A3B81" w:rsidRDefault="006A3B81" w:rsidP="006A3B81">
      <w:pPr>
        <w:pStyle w:val="Caption"/>
        <w:keepNext/>
      </w:pPr>
      <w:bookmarkStart w:id="17" w:name="_Ref386556818"/>
      <w:bookmarkStart w:id="18" w:name="_Toc387057622"/>
      <w:r>
        <w:lastRenderedPageBreak/>
        <w:t xml:space="preserve">Table </w:t>
      </w:r>
      <w:fldSimple w:instr=" SEQ Table \* ARABIC ">
        <w:r w:rsidR="00EF1CF9">
          <w:rPr>
            <w:noProof/>
          </w:rPr>
          <w:t>1</w:t>
        </w:r>
      </w:fldSimple>
      <w:bookmarkEnd w:id="17"/>
      <w:r>
        <w:t>: Subset of CISQ Security Rules</w:t>
      </w:r>
      <w:bookmarkEnd w:id="18"/>
    </w:p>
    <w:tbl>
      <w:tblPr>
        <w:tblStyle w:val="LightList-Accent1"/>
        <w:tblW w:w="0" w:type="auto"/>
        <w:tblLook w:val="0420" w:firstRow="1" w:lastRow="0" w:firstColumn="0" w:lastColumn="0" w:noHBand="0" w:noVBand="1"/>
      </w:tblPr>
      <w:tblGrid>
        <w:gridCol w:w="2799"/>
        <w:gridCol w:w="2799"/>
        <w:gridCol w:w="2798"/>
      </w:tblGrid>
      <w:tr w:rsidR="006A3B81" w:rsidRPr="006B050C" w14:paraId="3BCD2947" w14:textId="77777777" w:rsidTr="006A3B81">
        <w:trPr>
          <w:cnfStyle w:val="100000000000" w:firstRow="1" w:lastRow="0" w:firstColumn="0" w:lastColumn="0" w:oddVBand="0" w:evenVBand="0" w:oddHBand="0" w:evenHBand="0" w:firstRowFirstColumn="0" w:firstRowLastColumn="0" w:lastRowFirstColumn="0" w:lastRowLastColumn="0"/>
        </w:trPr>
        <w:tc>
          <w:tcPr>
            <w:tcW w:w="2799" w:type="dxa"/>
            <w:tcMar>
              <w:left w:w="58" w:type="dxa"/>
              <w:right w:w="58" w:type="dxa"/>
            </w:tcMar>
          </w:tcPr>
          <w:p w14:paraId="4B3783AC" w14:textId="77777777" w:rsidR="006A3B81" w:rsidRPr="00EF1CF9" w:rsidRDefault="006A3B81" w:rsidP="00EF1CF9">
            <w:pPr>
              <w:pStyle w:val="TableParagraph"/>
              <w:keepNext/>
              <w:spacing w:line="291" w:lineRule="exact"/>
              <w:ind w:left="58"/>
              <w:jc w:val="center"/>
              <w:rPr>
                <w:rFonts w:ascii="Calibri" w:eastAsia="Calibri" w:hAnsi="Calibri" w:cs="Calibri"/>
              </w:rPr>
            </w:pPr>
            <w:r w:rsidRPr="00EF1CF9">
              <w:rPr>
                <w:rFonts w:ascii="Calibri"/>
              </w:rPr>
              <w:t>Issue</w:t>
            </w:r>
          </w:p>
        </w:tc>
        <w:tc>
          <w:tcPr>
            <w:tcW w:w="2799" w:type="dxa"/>
            <w:tcMar>
              <w:left w:w="58" w:type="dxa"/>
              <w:right w:w="58" w:type="dxa"/>
            </w:tcMar>
          </w:tcPr>
          <w:p w14:paraId="2BC337D9" w14:textId="77777777" w:rsidR="006A3B81" w:rsidRPr="00EF1CF9" w:rsidRDefault="006A3B81" w:rsidP="00EF1CF9">
            <w:pPr>
              <w:pStyle w:val="TableParagraph"/>
              <w:keepNext/>
              <w:spacing w:line="291" w:lineRule="exact"/>
              <w:ind w:left="58"/>
              <w:jc w:val="center"/>
              <w:rPr>
                <w:rFonts w:ascii="Calibri" w:eastAsia="Calibri" w:hAnsi="Calibri" w:cs="Calibri"/>
              </w:rPr>
            </w:pPr>
            <w:r w:rsidRPr="00EF1CF9">
              <w:rPr>
                <w:rFonts w:ascii="Calibri"/>
                <w:spacing w:val="-1"/>
              </w:rPr>
              <w:t>Quality</w:t>
            </w:r>
            <w:r w:rsidRPr="00EF1CF9">
              <w:rPr>
                <w:rFonts w:ascii="Calibri"/>
                <w:spacing w:val="-9"/>
              </w:rPr>
              <w:t xml:space="preserve"> </w:t>
            </w:r>
            <w:r w:rsidRPr="00EF1CF9">
              <w:rPr>
                <w:rFonts w:ascii="Calibri"/>
              </w:rPr>
              <w:t>Rule</w:t>
            </w:r>
          </w:p>
        </w:tc>
        <w:tc>
          <w:tcPr>
            <w:tcW w:w="2798" w:type="dxa"/>
            <w:tcMar>
              <w:left w:w="58" w:type="dxa"/>
              <w:right w:w="58" w:type="dxa"/>
            </w:tcMar>
          </w:tcPr>
          <w:p w14:paraId="7B425BEA" w14:textId="77777777" w:rsidR="006A3B81" w:rsidRPr="00EF1CF9" w:rsidRDefault="006A3B81" w:rsidP="00EF1CF9">
            <w:pPr>
              <w:pStyle w:val="TableParagraph"/>
              <w:keepNext/>
              <w:spacing w:line="291" w:lineRule="exact"/>
              <w:ind w:left="58"/>
              <w:jc w:val="center"/>
              <w:rPr>
                <w:rFonts w:ascii="Calibri" w:eastAsia="Calibri" w:hAnsi="Calibri" w:cs="Calibri"/>
              </w:rPr>
            </w:pPr>
            <w:r w:rsidRPr="00EF1CF9">
              <w:rPr>
                <w:rFonts w:ascii="Calibri"/>
                <w:spacing w:val="-1"/>
              </w:rPr>
              <w:t>Quality</w:t>
            </w:r>
            <w:r w:rsidRPr="00EF1CF9">
              <w:rPr>
                <w:rFonts w:ascii="Calibri"/>
                <w:spacing w:val="-6"/>
              </w:rPr>
              <w:t xml:space="preserve"> </w:t>
            </w:r>
            <w:r w:rsidRPr="00EF1CF9">
              <w:rPr>
                <w:rFonts w:ascii="Calibri"/>
                <w:spacing w:val="-1"/>
              </w:rPr>
              <w:t>Measure</w:t>
            </w:r>
            <w:r w:rsidRPr="00EF1CF9">
              <w:rPr>
                <w:rFonts w:ascii="Calibri"/>
                <w:spacing w:val="-5"/>
              </w:rPr>
              <w:t xml:space="preserve"> </w:t>
            </w:r>
            <w:r w:rsidRPr="00EF1CF9">
              <w:rPr>
                <w:rFonts w:ascii="Calibri"/>
                <w:spacing w:val="-1"/>
              </w:rPr>
              <w:t>Element</w:t>
            </w:r>
          </w:p>
        </w:tc>
      </w:tr>
      <w:tr w:rsidR="006A3B81" w14:paraId="4E872082" w14:textId="77777777" w:rsidTr="006A3B81">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hRule="exact" w:val="1728"/>
        </w:trPr>
        <w:tc>
          <w:tcPr>
            <w:cnfStyle w:val="001000000000" w:firstRow="0" w:lastRow="0" w:firstColumn="1" w:lastColumn="0" w:oddVBand="0" w:evenVBand="0" w:oddHBand="0" w:evenHBand="0" w:firstRowFirstColumn="0" w:firstRowLastColumn="0" w:lastRowFirstColumn="0" w:lastRowLastColumn="0"/>
            <w:tcW w:w="2799" w:type="dxa"/>
          </w:tcPr>
          <w:p w14:paraId="48B559A4" w14:textId="77777777" w:rsidR="006A3B81" w:rsidRDefault="006A3B81" w:rsidP="006A3B81">
            <w:pPr>
              <w:pStyle w:val="TableBody"/>
              <w:rPr>
                <w:rFonts w:eastAsia="Calibri" w:hAnsi="Calibri" w:cs="Calibri"/>
              </w:rPr>
            </w:pPr>
            <w:r>
              <w:t xml:space="preserve">CWE-79: </w:t>
            </w:r>
            <w:r w:rsidRPr="002A5021">
              <w:rPr>
                <w:b w:val="0"/>
              </w:rPr>
              <w:t>Improper</w:t>
            </w:r>
            <w:r w:rsidRPr="002A5021">
              <w:rPr>
                <w:b w:val="0"/>
                <w:spacing w:val="28"/>
              </w:rPr>
              <w:t xml:space="preserve"> </w:t>
            </w:r>
            <w:r w:rsidRPr="002A5021">
              <w:rPr>
                <w:b w:val="0"/>
              </w:rPr>
              <w:t>Neutralization</w:t>
            </w:r>
            <w:r w:rsidRPr="002A5021">
              <w:rPr>
                <w:b w:val="0"/>
                <w:spacing w:val="-3"/>
              </w:rPr>
              <w:t xml:space="preserve"> </w:t>
            </w:r>
            <w:r w:rsidRPr="002A5021">
              <w:rPr>
                <w:b w:val="0"/>
              </w:rPr>
              <w:t>of Input</w:t>
            </w:r>
            <w:r w:rsidRPr="002A5021">
              <w:rPr>
                <w:b w:val="0"/>
                <w:spacing w:val="29"/>
              </w:rPr>
              <w:t xml:space="preserve"> </w:t>
            </w:r>
            <w:r w:rsidRPr="002A5021">
              <w:rPr>
                <w:b w:val="0"/>
              </w:rPr>
              <w:t>During Web</w:t>
            </w:r>
            <w:r w:rsidRPr="002A5021">
              <w:rPr>
                <w:b w:val="0"/>
                <w:spacing w:val="-3"/>
              </w:rPr>
              <w:t xml:space="preserve"> </w:t>
            </w:r>
            <w:r w:rsidRPr="002A5021">
              <w:rPr>
                <w:b w:val="0"/>
              </w:rPr>
              <w:t>Page</w:t>
            </w:r>
            <w:r w:rsidRPr="002A5021">
              <w:rPr>
                <w:b w:val="0"/>
                <w:spacing w:val="25"/>
              </w:rPr>
              <w:t xml:space="preserve"> </w:t>
            </w:r>
            <w:r w:rsidRPr="002A5021">
              <w:rPr>
                <w:b w:val="0"/>
              </w:rPr>
              <w:t>Generation ('Cross-site</w:t>
            </w:r>
            <w:r w:rsidRPr="002A5021">
              <w:rPr>
                <w:b w:val="0"/>
                <w:spacing w:val="23"/>
              </w:rPr>
              <w:t xml:space="preserve"> </w:t>
            </w:r>
            <w:r w:rsidRPr="002A5021">
              <w:rPr>
                <w:b w:val="0"/>
              </w:rPr>
              <w:t>Scripting')</w:t>
            </w:r>
          </w:p>
        </w:tc>
        <w:tc>
          <w:tcPr>
            <w:tcW w:w="2799" w:type="dxa"/>
          </w:tcPr>
          <w:p w14:paraId="703CC20A" w14:textId="77777777" w:rsidR="006A3B81" w:rsidRDefault="006A3B81" w:rsidP="006A3B81">
            <w:pPr>
              <w:pStyle w:val="TableBody"/>
              <w:cnfStyle w:val="000000100000" w:firstRow="0" w:lastRow="0" w:firstColumn="0" w:lastColumn="0" w:oddVBand="0" w:evenVBand="0" w:oddHBand="1" w:evenHBand="0" w:firstRowFirstColumn="0" w:firstRowLastColumn="0" w:lastRowFirstColumn="0" w:lastRowLastColumn="0"/>
              <w:rPr>
                <w:rFonts w:eastAsia="Calibri" w:hAnsi="Calibri" w:cs="Calibri"/>
              </w:rPr>
            </w:pPr>
            <w:r>
              <w:rPr>
                <w:b/>
              </w:rPr>
              <w:t>Rule 1:</w:t>
            </w:r>
            <w:r>
              <w:rPr>
                <w:b/>
                <w:spacing w:val="-3"/>
              </w:rPr>
              <w:t xml:space="preserve"> </w:t>
            </w:r>
            <w:r>
              <w:t>Use</w:t>
            </w:r>
            <w:r>
              <w:rPr>
                <w:spacing w:val="1"/>
              </w:rPr>
              <w:t xml:space="preserve"> </w:t>
            </w:r>
            <w:r>
              <w:t>a</w:t>
            </w:r>
            <w:r>
              <w:rPr>
                <w:spacing w:val="-3"/>
              </w:rPr>
              <w:t xml:space="preserve"> </w:t>
            </w:r>
            <w:r>
              <w:t>vetted library or</w:t>
            </w:r>
            <w:r>
              <w:rPr>
                <w:spacing w:val="29"/>
              </w:rPr>
              <w:t xml:space="preserve"> </w:t>
            </w:r>
            <w:r>
              <w:t>framework</w:t>
            </w:r>
            <w:r>
              <w:rPr>
                <w:spacing w:val="1"/>
              </w:rPr>
              <w:t xml:space="preserve"> </w:t>
            </w:r>
            <w:r>
              <w:t>that</w:t>
            </w:r>
            <w:r>
              <w:rPr>
                <w:spacing w:val="1"/>
              </w:rPr>
              <w:t xml:space="preserve"> </w:t>
            </w:r>
            <w:r>
              <w:t>does not</w:t>
            </w:r>
            <w:r>
              <w:rPr>
                <w:spacing w:val="1"/>
              </w:rPr>
              <w:t xml:space="preserve"> </w:t>
            </w:r>
            <w:r>
              <w:t>allow</w:t>
            </w:r>
            <w:r>
              <w:rPr>
                <w:spacing w:val="26"/>
              </w:rPr>
              <w:t xml:space="preserve"> </w:t>
            </w:r>
            <w:r>
              <w:t>this weakness</w:t>
            </w:r>
            <w:r>
              <w:rPr>
                <w:spacing w:val="-2"/>
              </w:rPr>
              <w:t xml:space="preserve"> </w:t>
            </w:r>
            <w:r>
              <w:t>to</w:t>
            </w:r>
            <w:r>
              <w:rPr>
                <w:spacing w:val="1"/>
              </w:rPr>
              <w:t xml:space="preserve"> </w:t>
            </w:r>
            <w:r>
              <w:t>occur</w:t>
            </w:r>
            <w:r>
              <w:rPr>
                <w:spacing w:val="-2"/>
              </w:rPr>
              <w:t xml:space="preserve"> </w:t>
            </w:r>
            <w:r>
              <w:t>or</w:t>
            </w:r>
            <w:r>
              <w:rPr>
                <w:spacing w:val="29"/>
              </w:rPr>
              <w:t xml:space="preserve"> </w:t>
            </w:r>
            <w:r>
              <w:t>provides</w:t>
            </w:r>
            <w:r>
              <w:rPr>
                <w:spacing w:val="-2"/>
              </w:rPr>
              <w:t xml:space="preserve"> </w:t>
            </w:r>
            <w:r>
              <w:t>constructs</w:t>
            </w:r>
            <w:r>
              <w:rPr>
                <w:spacing w:val="-2"/>
              </w:rPr>
              <w:t xml:space="preserve"> </w:t>
            </w:r>
            <w:r>
              <w:t>that</w:t>
            </w:r>
            <w:r>
              <w:rPr>
                <w:spacing w:val="-2"/>
              </w:rPr>
              <w:t xml:space="preserve"> </w:t>
            </w:r>
            <w:r>
              <w:t>make</w:t>
            </w:r>
            <w:r>
              <w:rPr>
                <w:spacing w:val="25"/>
              </w:rPr>
              <w:t xml:space="preserve"> </w:t>
            </w:r>
            <w:r>
              <w:t>this weakness</w:t>
            </w:r>
            <w:r>
              <w:rPr>
                <w:spacing w:val="-2"/>
              </w:rPr>
              <w:t xml:space="preserve"> </w:t>
            </w:r>
            <w:r>
              <w:t>easier to</w:t>
            </w:r>
            <w:r>
              <w:rPr>
                <w:spacing w:val="1"/>
              </w:rPr>
              <w:t xml:space="preserve"> </w:t>
            </w:r>
            <w:r>
              <w:rPr>
                <w:spacing w:val="-2"/>
              </w:rPr>
              <w:t>avoid,</w:t>
            </w:r>
            <w:r>
              <w:rPr>
                <w:spacing w:val="23"/>
              </w:rPr>
              <w:t xml:space="preserve"> </w:t>
            </w:r>
            <w:r>
              <w:t>such as Microsoft's</w:t>
            </w:r>
            <w:r>
              <w:rPr>
                <w:spacing w:val="-2"/>
              </w:rPr>
              <w:t xml:space="preserve"> </w:t>
            </w:r>
            <w:r>
              <w:t>Anti-XSS</w:t>
            </w:r>
            <w:r>
              <w:rPr>
                <w:spacing w:val="30"/>
              </w:rPr>
              <w:t xml:space="preserve"> </w:t>
            </w:r>
            <w:r>
              <w:t>library, the</w:t>
            </w:r>
            <w:r>
              <w:rPr>
                <w:spacing w:val="-2"/>
              </w:rPr>
              <w:t xml:space="preserve"> </w:t>
            </w:r>
            <w:r>
              <w:t>OWASP</w:t>
            </w:r>
            <w:r>
              <w:rPr>
                <w:spacing w:val="1"/>
              </w:rPr>
              <w:t xml:space="preserve"> </w:t>
            </w:r>
            <w:r>
              <w:t>ESAPI</w:t>
            </w:r>
            <w:r>
              <w:rPr>
                <w:spacing w:val="28"/>
              </w:rPr>
              <w:t xml:space="preserve"> </w:t>
            </w:r>
            <w:r>
              <w:t>Encoding module,</w:t>
            </w:r>
            <w:r>
              <w:rPr>
                <w:spacing w:val="-2"/>
              </w:rPr>
              <w:t xml:space="preserve"> </w:t>
            </w:r>
            <w:r>
              <w:t>and Apache</w:t>
            </w:r>
            <w:r>
              <w:rPr>
                <w:spacing w:val="23"/>
              </w:rPr>
              <w:t xml:space="preserve"> </w:t>
            </w:r>
            <w:r>
              <w:t>Wicket.</w:t>
            </w:r>
          </w:p>
        </w:tc>
        <w:tc>
          <w:tcPr>
            <w:tcW w:w="2798" w:type="dxa"/>
          </w:tcPr>
          <w:p w14:paraId="65ECF530" w14:textId="77777777" w:rsidR="006A3B81" w:rsidRDefault="006A3B81" w:rsidP="006A3B81">
            <w:pPr>
              <w:pStyle w:val="TableBody"/>
              <w:cnfStyle w:val="000000100000" w:firstRow="0" w:lastRow="0" w:firstColumn="0" w:lastColumn="0" w:oddVBand="0" w:evenVBand="0" w:oddHBand="1" w:evenHBand="0" w:firstRowFirstColumn="0" w:firstRowLastColumn="0" w:lastRowFirstColumn="0" w:lastRowLastColumn="0"/>
              <w:rPr>
                <w:rFonts w:eastAsia="Calibri" w:hAnsi="Calibri" w:cs="Calibri"/>
              </w:rPr>
            </w:pPr>
            <w:r>
              <w:rPr>
                <w:b/>
              </w:rPr>
              <w:t xml:space="preserve">Measure 1: </w:t>
            </w:r>
            <w:r>
              <w:t>#</w:t>
            </w:r>
            <w:r>
              <w:rPr>
                <w:spacing w:val="-2"/>
              </w:rPr>
              <w:t xml:space="preserve"> </w:t>
            </w:r>
            <w:r>
              <w:t>of instances</w:t>
            </w:r>
            <w:r>
              <w:rPr>
                <w:spacing w:val="-5"/>
              </w:rPr>
              <w:t xml:space="preserve"> </w:t>
            </w:r>
            <w:r>
              <w:t>where</w:t>
            </w:r>
            <w:r>
              <w:rPr>
                <w:spacing w:val="29"/>
              </w:rPr>
              <w:t xml:space="preserve"> </w:t>
            </w:r>
            <w:r>
              <w:t>output</w:t>
            </w:r>
            <w:r>
              <w:rPr>
                <w:spacing w:val="1"/>
              </w:rPr>
              <w:t xml:space="preserve"> </w:t>
            </w:r>
            <w:r>
              <w:t>is not</w:t>
            </w:r>
            <w:r>
              <w:rPr>
                <w:spacing w:val="1"/>
              </w:rPr>
              <w:t xml:space="preserve"> </w:t>
            </w:r>
            <w:r>
              <w:t xml:space="preserve">using </w:t>
            </w:r>
            <w:r>
              <w:rPr>
                <w:spacing w:val="-2"/>
              </w:rPr>
              <w:t>library</w:t>
            </w:r>
            <w:r>
              <w:rPr>
                <w:spacing w:val="1"/>
              </w:rPr>
              <w:t xml:space="preserve"> </w:t>
            </w:r>
            <w:r>
              <w:t>for</w:t>
            </w:r>
            <w:r>
              <w:rPr>
                <w:spacing w:val="27"/>
              </w:rPr>
              <w:t xml:space="preserve"> </w:t>
            </w:r>
            <w:r>
              <w:t>ne</w:t>
            </w:r>
            <w:r>
              <w:t>u</w:t>
            </w:r>
            <w:r>
              <w:t>tralization</w:t>
            </w:r>
          </w:p>
        </w:tc>
      </w:tr>
      <w:tr w:rsidR="006A3B81" w14:paraId="64890B4A" w14:textId="77777777" w:rsidTr="006A3B81">
        <w:tblPrEx>
          <w:tblLook w:val="04A0" w:firstRow="1" w:lastRow="0" w:firstColumn="1" w:lastColumn="0" w:noHBand="0" w:noVBand="1"/>
        </w:tblPrEx>
        <w:trPr>
          <w:trHeight w:hRule="exact" w:val="1440"/>
        </w:trPr>
        <w:tc>
          <w:tcPr>
            <w:cnfStyle w:val="001000000000" w:firstRow="0" w:lastRow="0" w:firstColumn="1" w:lastColumn="0" w:oddVBand="0" w:evenVBand="0" w:oddHBand="0" w:evenHBand="0" w:firstRowFirstColumn="0" w:firstRowLastColumn="0" w:lastRowFirstColumn="0" w:lastRowLastColumn="0"/>
            <w:tcW w:w="2799" w:type="dxa"/>
          </w:tcPr>
          <w:p w14:paraId="30F6EE8C" w14:textId="77777777" w:rsidR="006A3B81" w:rsidRPr="00F7520E" w:rsidRDefault="006A3B81" w:rsidP="006A3B81">
            <w:pPr>
              <w:pStyle w:val="TableBody"/>
              <w:rPr>
                <w:rFonts w:eastAsiaTheme="minorHAnsi" w:hAnsiTheme="minorHAnsi" w:cstheme="minorBidi"/>
                <w:b w:val="0"/>
              </w:rPr>
            </w:pPr>
            <w:r>
              <w:t xml:space="preserve">CWE-89: </w:t>
            </w:r>
            <w:r w:rsidRPr="002A5021">
              <w:rPr>
                <w:b w:val="0"/>
              </w:rPr>
              <w:t>Improper Neutralization of Special Elements used in an SQL Command ('SQL Injection')</w:t>
            </w:r>
          </w:p>
        </w:tc>
        <w:tc>
          <w:tcPr>
            <w:tcW w:w="2799" w:type="dxa"/>
          </w:tcPr>
          <w:p w14:paraId="0C2A4A1A" w14:textId="77777777" w:rsidR="006A3B81" w:rsidRPr="00F7520E" w:rsidRDefault="006A3B81" w:rsidP="006A3B81">
            <w:pPr>
              <w:pStyle w:val="TableBody"/>
              <w:cnfStyle w:val="000000000000" w:firstRow="0" w:lastRow="0" w:firstColumn="0" w:lastColumn="0" w:oddVBand="0" w:evenVBand="0" w:oddHBand="0" w:evenHBand="0" w:firstRowFirstColumn="0" w:firstRowLastColumn="0" w:lastRowFirstColumn="0" w:lastRowLastColumn="0"/>
              <w:rPr>
                <w:rFonts w:eastAsiaTheme="minorHAnsi" w:hAnsiTheme="minorHAnsi" w:cstheme="minorBidi"/>
                <w:b/>
              </w:rPr>
            </w:pPr>
            <w:r>
              <w:rPr>
                <w:b/>
              </w:rPr>
              <w:t xml:space="preserve">Rule </w:t>
            </w:r>
            <w:r w:rsidRPr="00F7520E">
              <w:rPr>
                <w:b/>
              </w:rPr>
              <w:t xml:space="preserve">2: </w:t>
            </w:r>
            <w:r w:rsidRPr="000F3003">
              <w:t>Use a vetted library or framework that does not allow SQL injection to occur or provides co</w:t>
            </w:r>
            <w:r w:rsidRPr="000F3003">
              <w:t>n</w:t>
            </w:r>
            <w:r w:rsidRPr="000F3003">
              <w:t>structs that make this SQL injection easier to avoid or use persistence layers such as Hibernate or Ente</w:t>
            </w:r>
            <w:r w:rsidRPr="000F3003">
              <w:t>r</w:t>
            </w:r>
            <w:r w:rsidRPr="000F3003">
              <w:t>prise Java Beans.</w:t>
            </w:r>
          </w:p>
        </w:tc>
        <w:tc>
          <w:tcPr>
            <w:tcW w:w="2798" w:type="dxa"/>
          </w:tcPr>
          <w:p w14:paraId="4D6987BC" w14:textId="77777777" w:rsidR="006A3B81" w:rsidRPr="00F7520E" w:rsidRDefault="006A3B81" w:rsidP="006A3B81">
            <w:pPr>
              <w:pStyle w:val="TableBody"/>
              <w:cnfStyle w:val="000000000000" w:firstRow="0" w:lastRow="0" w:firstColumn="0" w:lastColumn="0" w:oddVBand="0" w:evenVBand="0" w:oddHBand="0" w:evenHBand="0" w:firstRowFirstColumn="0" w:firstRowLastColumn="0" w:lastRowFirstColumn="0" w:lastRowLastColumn="0"/>
              <w:rPr>
                <w:rFonts w:eastAsiaTheme="minorHAnsi" w:hAnsiTheme="minorHAnsi" w:cstheme="minorBidi"/>
                <w:b/>
              </w:rPr>
            </w:pPr>
            <w:r>
              <w:rPr>
                <w:b/>
              </w:rPr>
              <w:t xml:space="preserve">Measure </w:t>
            </w:r>
            <w:r w:rsidRPr="00F7520E">
              <w:rPr>
                <w:b/>
              </w:rPr>
              <w:t>2:</w:t>
            </w:r>
            <w:r w:rsidRPr="000F3003">
              <w:t xml:space="preserve"> # of instances where data is included in SQL statements that is not passed through the ne</w:t>
            </w:r>
            <w:r w:rsidRPr="000F3003">
              <w:t>u</w:t>
            </w:r>
            <w:r w:rsidRPr="000F3003">
              <w:t>tralization routines.</w:t>
            </w:r>
          </w:p>
        </w:tc>
      </w:tr>
      <w:tr w:rsidR="006A3B81" w14:paraId="5301A25C" w14:textId="77777777" w:rsidTr="006A3B81">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hRule="exact" w:val="1440"/>
        </w:trPr>
        <w:tc>
          <w:tcPr>
            <w:cnfStyle w:val="001000000000" w:firstRow="0" w:lastRow="0" w:firstColumn="1" w:lastColumn="0" w:oddVBand="0" w:evenVBand="0" w:oddHBand="0" w:evenHBand="0" w:firstRowFirstColumn="0" w:firstRowLastColumn="0" w:lastRowFirstColumn="0" w:lastRowLastColumn="0"/>
            <w:tcW w:w="2799" w:type="dxa"/>
          </w:tcPr>
          <w:p w14:paraId="78830779" w14:textId="77777777" w:rsidR="006A3B81" w:rsidRPr="00F7520E" w:rsidRDefault="006A3B81" w:rsidP="006A3B81">
            <w:pPr>
              <w:pStyle w:val="TableBody"/>
              <w:rPr>
                <w:rFonts w:eastAsiaTheme="minorHAnsi" w:hAnsiTheme="minorHAnsi" w:cstheme="minorBidi"/>
                <w:b w:val="0"/>
              </w:rPr>
            </w:pPr>
            <w:r w:rsidRPr="002A5021">
              <w:t>CWE-129:</w:t>
            </w:r>
            <w:r w:rsidRPr="00F7520E">
              <w:t xml:space="preserve"> </w:t>
            </w:r>
            <w:r w:rsidRPr="002A5021">
              <w:rPr>
                <w:b w:val="0"/>
              </w:rPr>
              <w:t>Improper Validation of Array Index</w:t>
            </w:r>
          </w:p>
        </w:tc>
        <w:tc>
          <w:tcPr>
            <w:tcW w:w="2799" w:type="dxa"/>
          </w:tcPr>
          <w:p w14:paraId="55C294E2" w14:textId="77777777" w:rsidR="006A3B81" w:rsidRPr="00F7520E" w:rsidRDefault="006A3B81" w:rsidP="006A3B81">
            <w:pPr>
              <w:pStyle w:val="TableBody"/>
              <w:cnfStyle w:val="000000100000" w:firstRow="0" w:lastRow="0" w:firstColumn="0" w:lastColumn="0" w:oddVBand="0" w:evenVBand="0" w:oddHBand="1" w:evenHBand="0" w:firstRowFirstColumn="0" w:firstRowLastColumn="0" w:lastRowFirstColumn="0" w:lastRowLastColumn="0"/>
              <w:rPr>
                <w:rFonts w:eastAsiaTheme="minorHAnsi" w:hAnsiTheme="minorHAnsi" w:cstheme="minorBidi"/>
                <w:b/>
              </w:rPr>
            </w:pPr>
            <w:r>
              <w:rPr>
                <w:b/>
              </w:rPr>
              <w:t xml:space="preserve">Rule </w:t>
            </w:r>
            <w:r w:rsidRPr="00F7520E">
              <w:rPr>
                <w:b/>
              </w:rPr>
              <w:t>8:</w:t>
            </w:r>
            <w:r>
              <w:rPr>
                <w:b/>
              </w:rPr>
              <w:t xml:space="preserve"> </w:t>
            </w:r>
            <w:r w:rsidRPr="000F3003">
              <w:t>Assume all input is mal</w:t>
            </w:r>
            <w:r w:rsidRPr="000F3003">
              <w:t>i</w:t>
            </w:r>
            <w:r w:rsidRPr="000F3003">
              <w:t>cious. When accessing a user-controlled array index, use a stri</w:t>
            </w:r>
            <w:r w:rsidRPr="000F3003">
              <w:t>n</w:t>
            </w:r>
            <w:r w:rsidRPr="000F3003">
              <w:t>gent range of values that are within the target array. Make sure that you do not allow negative values to be used. That is, verify the minimum as well as the maximum of the range of acceptable values.</w:t>
            </w:r>
          </w:p>
        </w:tc>
        <w:tc>
          <w:tcPr>
            <w:tcW w:w="2798" w:type="dxa"/>
          </w:tcPr>
          <w:p w14:paraId="24D6798B" w14:textId="77777777" w:rsidR="006A3B81" w:rsidRPr="00F7520E" w:rsidRDefault="006A3B81" w:rsidP="006A3B81">
            <w:pPr>
              <w:pStyle w:val="TableBody"/>
              <w:cnfStyle w:val="000000100000" w:firstRow="0" w:lastRow="0" w:firstColumn="0" w:lastColumn="0" w:oddVBand="0" w:evenVBand="0" w:oddHBand="1" w:evenHBand="0" w:firstRowFirstColumn="0" w:firstRowLastColumn="0" w:lastRowFirstColumn="0" w:lastRowLastColumn="0"/>
              <w:rPr>
                <w:rFonts w:eastAsiaTheme="minorHAnsi" w:hAnsiTheme="minorHAnsi" w:cstheme="minorBidi"/>
                <w:b/>
              </w:rPr>
            </w:pPr>
            <w:r>
              <w:rPr>
                <w:b/>
              </w:rPr>
              <w:t xml:space="preserve">Measure </w:t>
            </w:r>
            <w:r w:rsidRPr="00F7520E">
              <w:rPr>
                <w:b/>
              </w:rPr>
              <w:t>8:</w:t>
            </w:r>
            <w:r>
              <w:rPr>
                <w:b/>
              </w:rPr>
              <w:t xml:space="preserve"> </w:t>
            </w:r>
            <w:r w:rsidRPr="000F3003">
              <w:t># of array accesses with user input that IS NOT range checked</w:t>
            </w:r>
          </w:p>
        </w:tc>
      </w:tr>
    </w:tbl>
    <w:p w14:paraId="5E8C07C9" w14:textId="6B883E46" w:rsidR="006A3B81" w:rsidRDefault="00C20CD5" w:rsidP="00C55EDB">
      <w:pPr>
        <w:pStyle w:val="Body"/>
      </w:pPr>
      <w:r>
        <w:t xml:space="preserve">The CISQ work provides </w:t>
      </w:r>
      <w:r w:rsidR="00C55EDB">
        <w:t>is a good transition from simply finding defects</w:t>
      </w:r>
      <w:r>
        <w:t xml:space="preserve"> by static analysis</w:t>
      </w:r>
      <w:r w:rsidR="00C55EDB">
        <w:t xml:space="preserve"> to incorporating prevention into development. </w:t>
      </w:r>
      <w:r w:rsidR="006A3B81">
        <w:t>The CISQ approach</w:t>
      </w:r>
      <w:r w:rsidR="00032AD3">
        <w:t xml:space="preserve"> and </w:t>
      </w:r>
      <w:r w:rsidR="006A3B81">
        <w:t xml:space="preserve">static analysis </w:t>
      </w:r>
      <w:r>
        <w:t xml:space="preserve">are </w:t>
      </w:r>
      <w:r w:rsidR="006A3B81">
        <w:t xml:space="preserve">based on </w:t>
      </w:r>
      <w:r w:rsidR="00032AD3">
        <w:t xml:space="preserve">an </w:t>
      </w:r>
      <w:r w:rsidR="006A3B81">
        <w:t xml:space="preserve">analysis of developed source code, but there is a significant difference between </w:t>
      </w:r>
      <w:r w:rsidR="00032AD3">
        <w:t>the two a</w:t>
      </w:r>
      <w:r w:rsidR="00032AD3">
        <w:t>p</w:t>
      </w:r>
      <w:r w:rsidR="00032AD3">
        <w:t xml:space="preserve">proaches. </w:t>
      </w:r>
      <w:r w:rsidR="006A3B81">
        <w:t xml:space="preserve">The Quality Rules incorporate software engineering recommendations such as the use of vetted libraries that prevent specific vulnerabilities rather than </w:t>
      </w:r>
      <w:r w:rsidR="00032AD3">
        <w:t xml:space="preserve">depend on </w:t>
      </w:r>
      <w:r w:rsidR="006A3B81">
        <w:t xml:space="preserve">identifying defects after they have been created.  Caper </w:t>
      </w:r>
      <w:r w:rsidR="006A3B81" w:rsidRPr="00321677">
        <w:t>Jones</w:t>
      </w:r>
      <w:r w:rsidR="0059760F">
        <w:rPr>
          <w:rStyle w:val="FootnoteReference"/>
        </w:rPr>
        <w:footnoteReference w:id="6"/>
      </w:r>
      <w:r w:rsidR="006A3B81" w:rsidRPr="00321677">
        <w:t xml:space="preserve"> </w:t>
      </w:r>
      <w:r w:rsidR="006A3B81">
        <w:t xml:space="preserve">in his analysis of quality practices </w:t>
      </w:r>
      <w:r w:rsidR="006A3B81" w:rsidRPr="00321677">
        <w:t>noted that the co</w:t>
      </w:r>
      <w:r w:rsidR="006A3B81" w:rsidRPr="00321677">
        <w:t>m</w:t>
      </w:r>
      <w:r w:rsidR="006A3B81" w:rsidRPr="00321677">
        <w:t xml:space="preserve">bination of defect prevention and removal provided the best overall improvement in software quality.  </w:t>
      </w:r>
    </w:p>
    <w:p w14:paraId="3D13A188" w14:textId="77777777" w:rsidR="006A3B81" w:rsidRPr="00125EE4" w:rsidRDefault="006A3B81" w:rsidP="006A3B81">
      <w:pPr>
        <w:rPr>
          <w:rFonts w:ascii="Times New Roman" w:hAnsi="Times New Roman"/>
          <w:color w:val="000000"/>
          <w:kern w:val="22"/>
        </w:rPr>
      </w:pPr>
      <w:r>
        <w:rPr>
          <w:rFonts w:ascii="Times New Roman" w:hAnsi="Times New Roman"/>
          <w:color w:val="000000"/>
          <w:kern w:val="22"/>
        </w:rPr>
        <w:t>Defect prevention typically depends on analysis that extends beyond a single software component. As noted by OMG [OMG 2013], detecting backdoors, cross-site scripting vulnerabilities (XSS)</w:t>
      </w:r>
      <w:r w:rsidRPr="00125EE4">
        <w:rPr>
          <w:rFonts w:ascii="Times New Roman" w:hAnsi="Times New Roman"/>
          <w:color w:val="000000"/>
          <w:kern w:val="22"/>
        </w:rPr>
        <w:t xml:space="preserve"> or unsecure dynamic SQL queries through multiple layers requires a deep understanding of all the data manipulation layers as well as the data structure itself. Overall, security experts Greg Hoglund and Gary McGraw believe cross</w:t>
      </w:r>
      <w:r w:rsidRPr="00125EE4">
        <w:rPr>
          <w:rFonts w:ascii="Cambria Math" w:hAnsi="Cambria Math" w:cs="Cambria Math"/>
          <w:color w:val="000000"/>
          <w:kern w:val="22"/>
        </w:rPr>
        <w:t>‐</w:t>
      </w:r>
      <w:r w:rsidRPr="00125EE4">
        <w:rPr>
          <w:rFonts w:ascii="Times New Roman" w:hAnsi="Times New Roman"/>
          <w:color w:val="000000"/>
          <w:kern w:val="22"/>
        </w:rPr>
        <w:t>layer security issues account for 50% of all the security issues</w:t>
      </w:r>
      <w:r>
        <w:rPr>
          <w:rFonts w:ascii="Times New Roman" w:hAnsi="Times New Roman"/>
          <w:color w:val="000000"/>
          <w:kern w:val="22"/>
        </w:rPr>
        <w:t xml:space="preserve"> [Hogood 2004]</w:t>
      </w:r>
      <w:r w:rsidRPr="00125EE4">
        <w:rPr>
          <w:rFonts w:ascii="Times New Roman" w:hAnsi="Times New Roman"/>
          <w:color w:val="000000"/>
          <w:kern w:val="22"/>
        </w:rPr>
        <w:t>.</w:t>
      </w:r>
    </w:p>
    <w:p w14:paraId="3D230924" w14:textId="294223ED" w:rsidR="00C55EDB" w:rsidRDefault="006A3B81" w:rsidP="006A3B81">
      <w:pPr>
        <w:pStyle w:val="Body"/>
      </w:pPr>
      <w:r>
        <w:t>The security analysis</w:t>
      </w:r>
      <w:r w:rsidR="00032AD3">
        <w:t xml:space="preserve"> for </w:t>
      </w:r>
      <w:r w:rsidR="00C20CD5">
        <w:t>XSS</w:t>
      </w:r>
      <w:r w:rsidR="00032AD3">
        <w:t xml:space="preserve"> issues</w:t>
      </w:r>
      <w:r>
        <w:t xml:space="preserve"> needs to consider what OMG refers to as System Level Analysis: the </w:t>
      </w:r>
      <w:r w:rsidRPr="001E1227">
        <w:t xml:space="preserve">ability to analyze all the different code units and different layers of technology to get a holistic view of the entire integrated business application. System level analysis allows us to visualize complete transaction paths from user entries, through user authentication and business logic, down to sensitive data access.  </w:t>
      </w:r>
    </w:p>
    <w:p w14:paraId="5EF2BF31" w14:textId="1D2F25A8" w:rsidR="006A3B81" w:rsidRDefault="006A3B81" w:rsidP="006A3B81">
      <w:pPr>
        <w:pStyle w:val="Body"/>
      </w:pPr>
      <w:r>
        <w:lastRenderedPageBreak/>
        <w:t xml:space="preserve">The shift from components to systems </w:t>
      </w:r>
      <w:r w:rsidR="00032AD3">
        <w:t>requires that we</w:t>
      </w:r>
      <w:r>
        <w:t xml:space="preserve"> apply quality measures to designs and e</w:t>
      </w:r>
      <w:r>
        <w:t>n</w:t>
      </w:r>
      <w:r>
        <w:t xml:space="preserve">gineering choices. Software reliability is a good example </w:t>
      </w:r>
      <w:r w:rsidR="00032AD3">
        <w:t>why such a shift is required.</w:t>
      </w:r>
    </w:p>
    <w:p w14:paraId="219D9F6F" w14:textId="77777777" w:rsidR="006A3B81" w:rsidRDefault="006A3B81" w:rsidP="006A3B81">
      <w:pPr>
        <w:pStyle w:val="Body"/>
      </w:pPr>
      <w:r w:rsidRPr="009E7245">
        <w:t>Several studies of safety-critical systems show that while 70 percent of errors in embedded safety-critical software are introduced in the requirements and architecture design phases [Feiler 2012], 80 percent of all errors are only found at system integration or later. In particular, these errors were not found in unit testing. The rework effort to correct requirement and design problems in later phases can be as high as 300 to 1,000 times the cost of in-phase correction, and undiscovered errors likely remain after that rework.</w:t>
      </w:r>
    </w:p>
    <w:p w14:paraId="36FA16A1" w14:textId="3EFB9A6F" w:rsidR="006A3B81" w:rsidRDefault="006A3B81" w:rsidP="006A3B81">
      <w:pPr>
        <w:pStyle w:val="Body"/>
      </w:pPr>
      <w:r>
        <w:t xml:space="preserve">Similar problems appeared with patient-controlled analgesia infusion pump that are used to infuse a pain killer </w:t>
      </w:r>
      <w:r w:rsidR="0045144A">
        <w:t xml:space="preserve">at a prescribed basal ﬂow rate </w:t>
      </w:r>
      <w:r w:rsidR="00C20CD5">
        <w:t xml:space="preserve">[FDA 2010]. </w:t>
      </w:r>
      <w:r>
        <w:t xml:space="preserve">The US Federal Drug Administration (FDA) uses a premarket assessment to certify the safety and reliability of medical infusion pumps before they are sold to the public. In spite of the FDA’s assessment, too many approved pumps exhibited hardware and software defects in the field, leading to death or injury of patients [FDA 2010]. From 2005 through 2009, 87 infusion pump recalls were conducted by ﬁrms to address identiﬁed safety problems. These defects had not been found during development by testing and other methods. After an analysis of pump recalls and adverse events the FDA concluded that many of the problems appeared to be related to deﬁciencies in device design and engineering. </w:t>
      </w:r>
    </w:p>
    <w:p w14:paraId="206F8E2E" w14:textId="3B5F340C" w:rsidR="006A3B81" w:rsidRDefault="00DF7F86" w:rsidP="00C55EDB">
      <w:pPr>
        <w:pStyle w:val="Body"/>
      </w:pPr>
      <w:r>
        <w:t>The recommendations in</w:t>
      </w:r>
      <w:r w:rsidR="006A3B81">
        <w:t xml:space="preserve"> </w:t>
      </w:r>
      <w:r>
        <w:t>t</w:t>
      </w:r>
      <w:r w:rsidRPr="006A0ED3">
        <w:t xml:space="preserve">he 2005 </w:t>
      </w:r>
      <w:r w:rsidRPr="00DA3F63">
        <w:rPr>
          <w:i/>
        </w:rPr>
        <w:t>Department of Defense Guide for Achieving Reliability, Avai</w:t>
      </w:r>
      <w:r w:rsidRPr="00DA3F63">
        <w:rPr>
          <w:i/>
        </w:rPr>
        <w:t>l</w:t>
      </w:r>
      <w:r w:rsidRPr="00DA3F63">
        <w:rPr>
          <w:i/>
        </w:rPr>
        <w:t>ability, and Maintainabi</w:t>
      </w:r>
      <w:r w:rsidRPr="007916A5">
        <w:rPr>
          <w:i/>
        </w:rPr>
        <w:t>lity</w:t>
      </w:r>
      <w:r>
        <w:t xml:space="preserve"> (RAM) </w:t>
      </w:r>
      <w:r w:rsidR="006A3B81">
        <w:t>guide are to e</w:t>
      </w:r>
      <w:r w:rsidR="006A3B81" w:rsidRPr="00907CBF">
        <w:t>mphasize systems engineering design analysis</w:t>
      </w:r>
      <w:r w:rsidR="006A3B81">
        <w:t xml:space="preserve"> and</w:t>
      </w:r>
      <w:r w:rsidR="006A3B81" w:rsidRPr="00907CBF">
        <w:t xml:space="preserve"> </w:t>
      </w:r>
      <w:r w:rsidR="006A3B81">
        <w:t>c</w:t>
      </w:r>
      <w:r w:rsidR="006A3B81" w:rsidRPr="00907CBF">
        <w:t>onduct formal design reviews for reliability</w:t>
      </w:r>
      <w:r w:rsidR="006A3B81">
        <w:t>. The FDA had to revise their remarket asses</w:t>
      </w:r>
      <w:r w:rsidR="006A3B81">
        <w:t>s</w:t>
      </w:r>
      <w:r w:rsidR="006A3B81">
        <w:t xml:space="preserve">ment to identify defects in device design and engineering. Both organizations had to consider how engineering decisions such as those made during design could reduce defects, i.e. improve quality.  </w:t>
      </w:r>
    </w:p>
    <w:p w14:paraId="362AC2CF" w14:textId="21804A94" w:rsidR="008A461B" w:rsidRDefault="008A461B" w:rsidP="008A461B">
      <w:pPr>
        <w:pStyle w:val="Heading2"/>
      </w:pPr>
      <w:bookmarkStart w:id="19" w:name="_Toc388442952"/>
      <w:r>
        <w:t>Power Grid Assurance Case</w:t>
      </w:r>
      <w:bookmarkEnd w:id="19"/>
    </w:p>
    <w:p w14:paraId="2B2F07B7" w14:textId="77777777" w:rsidR="00C55EDB" w:rsidRDefault="00C55EDB" w:rsidP="00C55EDB">
      <w:pPr>
        <w:pStyle w:val="Body"/>
      </w:pPr>
      <w:r>
        <w:t>The 2003 electric power grid blackout is a good example of the kind of causal analysis that is r</w:t>
      </w:r>
      <w:r>
        <w:t>e</w:t>
      </w:r>
      <w:r>
        <w:t xml:space="preserve">quired to improve the reliability of complex systems. A failure analysis based just on events could have concluded that the primary cause of the blackout was the failure of the alarm server caused by a race condition. The reliability problems were far more serious as the operational </w:t>
      </w:r>
      <w:r w:rsidRPr="00A846C5">
        <w:t>resilien</w:t>
      </w:r>
      <w:r>
        <w:t>cy was s</w:t>
      </w:r>
      <w:r w:rsidRPr="00A846C5">
        <w:t>o poor that a bl</w:t>
      </w:r>
      <w:r>
        <w:t xml:space="preserve">ackout was just ready to happen. </w:t>
      </w:r>
    </w:p>
    <w:p w14:paraId="173384BA" w14:textId="02C91BC9" w:rsidR="00C55EDB" w:rsidRPr="00C55EDB" w:rsidRDefault="00C20CD5" w:rsidP="00C55EDB">
      <w:pPr>
        <w:pStyle w:val="Body"/>
      </w:pPr>
      <w:r>
        <w:t>The Power Grid blackout</w:t>
      </w:r>
      <w:r w:rsidR="00C55EDB">
        <w:t xml:space="preserve"> is a good example of the role that management role that system assu</w:t>
      </w:r>
      <w:r w:rsidR="00C55EDB">
        <w:t>r</w:t>
      </w:r>
      <w:r w:rsidR="00C55EDB">
        <w:t xml:space="preserve">ance can play. The details of the failure are discussed in Module 1. </w:t>
      </w:r>
    </w:p>
    <w:p w14:paraId="174E7AEB" w14:textId="77777777" w:rsidR="008A461B" w:rsidRDefault="008A461B" w:rsidP="008A461B">
      <w:pPr>
        <w:pStyle w:val="Body"/>
      </w:pPr>
      <w:r>
        <w:t>A key observation by the technical reviewers was that t</w:t>
      </w:r>
      <w:r w:rsidRPr="00651749">
        <w:t>he blackout would not have occurred if the operators had known the alarm service had failed.</w:t>
      </w:r>
      <w:r>
        <w:t xml:space="preserve"> Instead of analyzing the details of the alarm server failure, the reviewers asked why the following software assurance claim had not been met. </w:t>
      </w:r>
    </w:p>
    <w:p w14:paraId="38CE5294" w14:textId="77777777" w:rsidR="008A461B" w:rsidRPr="00BF19E7" w:rsidRDefault="008A461B" w:rsidP="008A461B">
      <w:pPr>
        <w:pStyle w:val="Body"/>
        <w:ind w:left="216"/>
      </w:pPr>
      <w:r w:rsidRPr="00BF19E7">
        <w:rPr>
          <w:b/>
        </w:rPr>
        <w:t>Claim:</w:t>
      </w:r>
      <w:r w:rsidRPr="00BF19E7">
        <w:t xml:space="preserve"> Power grid operators had sufficient situational awareness to be able to manage it in a manner that meets the reliability requirements</w:t>
      </w:r>
      <w:r>
        <w:t>.</w:t>
      </w:r>
    </w:p>
    <w:p w14:paraId="5E42BCFF" w14:textId="6D3D4EA7" w:rsidR="008A461B" w:rsidRDefault="008A461B" w:rsidP="008A461B">
      <w:pPr>
        <w:pStyle w:val="Body"/>
      </w:pPr>
      <w:r>
        <w:t xml:space="preserve">The blackout analysis then identified multiple ways that the situational awareness claim could be satisfied. </w:t>
      </w:r>
      <w:r>
        <w:fldChar w:fldCharType="begin"/>
      </w:r>
      <w:r>
        <w:instrText xml:space="preserve"> REF _Ref377831071 \h </w:instrText>
      </w:r>
      <w:r>
        <w:fldChar w:fldCharType="separate"/>
      </w:r>
      <w:r w:rsidR="00EF1CF9">
        <w:t xml:space="preserve">Figure </w:t>
      </w:r>
      <w:r w:rsidR="00EF1CF9">
        <w:rPr>
          <w:noProof/>
        </w:rPr>
        <w:t>2</w:t>
      </w:r>
      <w:r>
        <w:fldChar w:fldCharType="end"/>
      </w:r>
      <w:r>
        <w:t xml:space="preserve"> shows those possibilities as an assurance case wh</w:t>
      </w:r>
      <w:r w:rsidR="00F01842">
        <w:t>ere only one out of the six sub</w:t>
      </w:r>
      <w:r>
        <w:t>claims is required. For example, a 10-minute recovery time for the alarm server should be su</w:t>
      </w:r>
      <w:r>
        <w:t>f</w:t>
      </w:r>
      <w:r>
        <w:lastRenderedPageBreak/>
        <w:t>ficient. Responses to adverse power grid conditions can often take an hour or longer. The level of confidence required for an electric utility requires concurrently available alternatives. An impl</w:t>
      </w:r>
      <w:r>
        <w:t>e</w:t>
      </w:r>
      <w:r>
        <w:t xml:space="preserve">mentation of all six is realistic. </w:t>
      </w:r>
    </w:p>
    <w:p w14:paraId="41597C8C" w14:textId="77777777" w:rsidR="008A461B" w:rsidRDefault="008A461B" w:rsidP="008A461B">
      <w:pPr>
        <w:pStyle w:val="Body"/>
        <w:keepNext/>
      </w:pPr>
      <w:r>
        <w:rPr>
          <w:noProof/>
        </w:rPr>
        <w:drawing>
          <wp:inline distT="0" distB="0" distL="0" distR="0" wp14:anchorId="26F6D26A" wp14:editId="65F2FEED">
            <wp:extent cx="5029200" cy="1236746"/>
            <wp:effectExtent l="0" t="0" r="0" b="1905"/>
            <wp:docPr id="20" name="Picture 20" descr="C:\Users\ellison\Documents\Working\To Do\CyberAssurance\ONI\FECasea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llison\Documents\Working\To Do\CyberAssurance\ONI\FECaseaTop.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29200" cy="1236746"/>
                    </a:xfrm>
                    <a:prstGeom prst="rect">
                      <a:avLst/>
                    </a:prstGeom>
                    <a:noFill/>
                    <a:ln>
                      <a:noFill/>
                    </a:ln>
                  </pic:spPr>
                </pic:pic>
              </a:graphicData>
            </a:graphic>
          </wp:inline>
        </w:drawing>
      </w:r>
    </w:p>
    <w:p w14:paraId="210BCEA5" w14:textId="77777777" w:rsidR="008A461B" w:rsidRDefault="008A461B" w:rsidP="008A461B">
      <w:pPr>
        <w:pStyle w:val="Caption"/>
      </w:pPr>
      <w:bookmarkStart w:id="20" w:name="_Ref377831071"/>
      <w:bookmarkStart w:id="21" w:name="_Toc380675456"/>
      <w:bookmarkStart w:id="22" w:name="_Toc382399392"/>
      <w:bookmarkStart w:id="23" w:name="_Toc383673108"/>
      <w:r>
        <w:t xml:space="preserve">Figure </w:t>
      </w:r>
      <w:fldSimple w:instr=" SEQ Figure \* ARABIC ">
        <w:r w:rsidR="00EF1CF9">
          <w:rPr>
            <w:noProof/>
          </w:rPr>
          <w:t>2</w:t>
        </w:r>
      </w:fldSimple>
      <w:bookmarkEnd w:id="20"/>
      <w:r>
        <w:t>: Alternate Ways to Provide Situational Awareness</w:t>
      </w:r>
      <w:bookmarkEnd w:id="21"/>
      <w:bookmarkEnd w:id="22"/>
      <w:bookmarkEnd w:id="23"/>
    </w:p>
    <w:p w14:paraId="5D0343DE" w14:textId="77777777" w:rsidR="008A461B" w:rsidRDefault="008A461B" w:rsidP="008A461B">
      <w:pPr>
        <w:pStyle w:val="Body"/>
      </w:pPr>
      <w:r>
        <w:t>The description of the alternatives and their status at the time of the blackout is as follows:</w:t>
      </w:r>
    </w:p>
    <w:p w14:paraId="614F70C4" w14:textId="77777777" w:rsidR="008A461B" w:rsidRDefault="008A461B" w:rsidP="008A461B">
      <w:pPr>
        <w:pStyle w:val="ListBulleted1"/>
      </w:pPr>
      <w:r>
        <w:t>The alarm server recovery service was designed for a hardware failure. The alarm service did fail over to the secondary server, but the primary server had stalled because of the race co</w:t>
      </w:r>
      <w:r>
        <w:t>n</w:t>
      </w:r>
      <w:r>
        <w:t>dition prevented it from accessing data. The secondary server was in the same stalled state. A warm reboot of the alarm service failed. The supplier of that control system told the compu</w:t>
      </w:r>
      <w:r>
        <w:t>t</w:t>
      </w:r>
      <w:r>
        <w:t xml:space="preserve">er support staff that a full restart of the energy management system was required which could take more than 30 minutes. </w:t>
      </w:r>
    </w:p>
    <w:p w14:paraId="3FA5F63B" w14:textId="77777777" w:rsidR="008A461B" w:rsidRDefault="008A461B" w:rsidP="008A461B">
      <w:pPr>
        <w:pStyle w:val="ListBulleted1"/>
      </w:pPr>
      <w:r w:rsidRPr="00910480">
        <w:t xml:space="preserve">A dynamic map board or other type of display </w:t>
      </w:r>
      <w:r>
        <w:t xml:space="preserve">that showed data relative to locations on the grid might have enabled the operators to recognize </w:t>
      </w:r>
      <w:r w:rsidRPr="00910480">
        <w:t>significant line and facility outages wit</w:t>
      </w:r>
      <w:r w:rsidRPr="00910480">
        <w:t>h</w:t>
      </w:r>
      <w:r w:rsidRPr="00910480">
        <w:t>in the control</w:t>
      </w:r>
      <w:r>
        <w:t>led</w:t>
      </w:r>
      <w:r w:rsidRPr="00910480">
        <w:t xml:space="preserve"> area.</w:t>
      </w:r>
      <w:r>
        <w:t xml:space="preserve"> </w:t>
      </w:r>
      <w:r w:rsidRPr="00CB0866">
        <w:t xml:space="preserve">Unlike many </w:t>
      </w:r>
      <w:r>
        <w:t>transmission system control centers, this utility power management</w:t>
      </w:r>
      <w:r w:rsidRPr="00CB0866">
        <w:t xml:space="preserve"> center did not have a map board</w:t>
      </w:r>
      <w:r>
        <w:t>.</w:t>
      </w:r>
    </w:p>
    <w:p w14:paraId="5CE405E8" w14:textId="77777777" w:rsidR="008A461B" w:rsidRDefault="008A461B" w:rsidP="008A461B">
      <w:pPr>
        <w:pStyle w:val="ListBulleted1"/>
      </w:pPr>
      <w:r w:rsidRPr="00CB0866">
        <w:t>The power grid operators</w:t>
      </w:r>
      <w:r>
        <w:t xml:space="preserve"> could have been notified that the alarm service was not available by the computer support staff. But t</w:t>
      </w:r>
      <w:r w:rsidRPr="00CB0866">
        <w:t xml:space="preserve">here was no formal procedure for </w:t>
      </w:r>
      <w:r>
        <w:t xml:space="preserve">such a notification. </w:t>
      </w:r>
      <w:r w:rsidRPr="00CB0866">
        <w:t>It ap</w:t>
      </w:r>
      <w:r>
        <w:t>pears that the operators</w:t>
      </w:r>
      <w:r w:rsidRPr="00CB0866">
        <w:t xml:space="preserve"> </w:t>
      </w:r>
      <w:r>
        <w:t xml:space="preserve">only became aware </w:t>
      </w:r>
      <w:r w:rsidRPr="00CB0866">
        <w:t>of the lack of the alarm service about 90 minutes after its failure and only 20 minutes in advance of the final cascade of failures.</w:t>
      </w:r>
    </w:p>
    <w:p w14:paraId="32C37245" w14:textId="77777777" w:rsidR="008A461B" w:rsidRDefault="008A461B" w:rsidP="008A461B">
      <w:pPr>
        <w:pStyle w:val="ListBulleted1"/>
      </w:pPr>
      <w:r>
        <w:t xml:space="preserve">The power grid operators could have learned of the change in conditions by looking at the output of the </w:t>
      </w:r>
      <w:r w:rsidRPr="00CB0866">
        <w:t>state estimators and</w:t>
      </w:r>
      <w:r>
        <w:t xml:space="preserve"> real-time contingency analysis tools. But p</w:t>
      </w:r>
      <w:r w:rsidRPr="00CB0866">
        <w:t>roblems had been experi</w:t>
      </w:r>
      <w:r>
        <w:t>enced with the automatic contin</w:t>
      </w:r>
      <w:r w:rsidRPr="00CB0866">
        <w:t>gency analysis operation since the system was i</w:t>
      </w:r>
      <w:r w:rsidRPr="00CB0866">
        <w:t>n</w:t>
      </w:r>
      <w:r w:rsidRPr="00CB0866">
        <w:t>stalled in 1995. As a result, the practice was for the operators or engineers to run conti</w:t>
      </w:r>
      <w:r>
        <w:t>n</w:t>
      </w:r>
      <w:r w:rsidRPr="00CB0866">
        <w:t>ge</w:t>
      </w:r>
      <w:r w:rsidRPr="00CB0866">
        <w:t>n</w:t>
      </w:r>
      <w:r w:rsidRPr="00CB0866">
        <w:t>cy analysis manually as needed.</w:t>
      </w:r>
      <w:r>
        <w:t xml:space="preserve"> Hence t</w:t>
      </w:r>
      <w:r w:rsidRPr="00CB0866">
        <w:t xml:space="preserve">he operators did not access </w:t>
      </w:r>
      <w:r>
        <w:t>the contingency analy</w:t>
      </w:r>
      <w:r w:rsidRPr="00CB0866">
        <w:t>sis results at any time that day</w:t>
      </w:r>
      <w:r>
        <w:t>.</w:t>
      </w:r>
    </w:p>
    <w:p w14:paraId="0F038481" w14:textId="77777777" w:rsidR="008A461B" w:rsidRDefault="008A461B" w:rsidP="008A461B">
      <w:pPr>
        <w:pStyle w:val="ListBulleted1"/>
      </w:pPr>
      <w:r>
        <w:t xml:space="preserve">The government contracts with independent organizations to monitor regional sections of the national power grid. </w:t>
      </w:r>
      <w:r w:rsidRPr="00D77696">
        <w:t>The state estimator and network analysis tools at that site</w:t>
      </w:r>
      <w:r>
        <w:t xml:space="preserve"> for this se</w:t>
      </w:r>
      <w:r>
        <w:t>g</w:t>
      </w:r>
      <w:r>
        <w:t>ment of the power grid</w:t>
      </w:r>
      <w:r w:rsidRPr="00D77696">
        <w:t xml:space="preserve"> were still considered to be in development on August 14 and were not fully capable of automatically recognizing changes in the configuration of the modeled system. The state estimator</w:t>
      </w:r>
      <w:r>
        <w:t xml:space="preserve"> at the independent monitor went out of service when it</w:t>
      </w:r>
      <w:r w:rsidRPr="00D77696">
        <w:t xml:space="preserve"> failed to </w:t>
      </w:r>
      <w:r>
        <w:t xml:space="preserve">deal correctly with the </w:t>
      </w:r>
      <w:r w:rsidRPr="00D77696">
        <w:t>failure of two lines.</w:t>
      </w:r>
      <w:r>
        <w:t xml:space="preserve"> An operator mistake after the state estimator had been fixed led to a second failure. It did not return to service until after the cascade of fai</w:t>
      </w:r>
      <w:r>
        <w:t>l</w:t>
      </w:r>
      <w:r>
        <w:t>ures had started.</w:t>
      </w:r>
    </w:p>
    <w:p w14:paraId="14FF0EA0" w14:textId="77777777" w:rsidR="008A461B" w:rsidRDefault="008A461B" w:rsidP="008A461B">
      <w:pPr>
        <w:pStyle w:val="Body"/>
      </w:pPr>
      <w:r>
        <w:lastRenderedPageBreak/>
        <w:t>The analysis also said the lack of an automatic alarm failure system as one of the causes. An a</w:t>
      </w:r>
      <w:r>
        <w:t>u</w:t>
      </w:r>
      <w:r>
        <w:t>tomatic notification existed, likely a heart-beat monitor that notified the secondary server when the primary one had failed. It should have been easy to use the same mechanism to also notify the computer support staff and the power grid operators in the event of a failure of one or both alert servers.</w:t>
      </w:r>
    </w:p>
    <w:p w14:paraId="17E0C7B9" w14:textId="77777777" w:rsidR="008A461B" w:rsidRDefault="008A461B" w:rsidP="008A461B">
      <w:pPr>
        <w:pStyle w:val="Heading3"/>
      </w:pPr>
      <w:bookmarkStart w:id="24" w:name="_Toc383705573"/>
      <w:bookmarkStart w:id="25" w:name="_Toc388442953"/>
      <w:r>
        <w:t>Other Observations</w:t>
      </w:r>
      <w:bookmarkEnd w:id="24"/>
      <w:bookmarkEnd w:id="25"/>
    </w:p>
    <w:p w14:paraId="255AD582" w14:textId="195D1F2C" w:rsidR="008A461B" w:rsidRDefault="008A461B" w:rsidP="008A461B">
      <w:pPr>
        <w:pStyle w:val="Body"/>
      </w:pPr>
      <w:r>
        <w:t>The power grid blackout is an example of a number of the software reliability challenges listed in</w:t>
      </w:r>
      <w:r w:rsidR="00EF1CF9">
        <w:t xml:space="preserve"> </w:t>
      </w:r>
      <w:commentRangeStart w:id="26"/>
      <w:r w:rsidR="00EF1CF9">
        <w:fldChar w:fldCharType="begin"/>
      </w:r>
      <w:r w:rsidR="00EF1CF9">
        <w:instrText xml:space="preserve"> REF _Ref386556818 \h </w:instrText>
      </w:r>
      <w:r w:rsidR="00EF1CF9">
        <w:fldChar w:fldCharType="separate"/>
      </w:r>
      <w:r w:rsidR="00EF1CF9">
        <w:t xml:space="preserve">Table </w:t>
      </w:r>
      <w:r w:rsidR="00EF1CF9">
        <w:rPr>
          <w:noProof/>
        </w:rPr>
        <w:t>1</w:t>
      </w:r>
      <w:r w:rsidR="00EF1CF9">
        <w:fldChar w:fldCharType="end"/>
      </w:r>
      <w:commentRangeEnd w:id="26"/>
      <w:r w:rsidR="00EF1CF9">
        <w:rPr>
          <w:rStyle w:val="CommentReference"/>
          <w:rFonts w:ascii="Times" w:hAnsi="Times"/>
          <w:color w:val="auto"/>
          <w:kern w:val="0"/>
        </w:rPr>
        <w:commentReference w:id="26"/>
      </w:r>
      <w:r>
        <w:t xml:space="preserve">. </w:t>
      </w:r>
    </w:p>
    <w:p w14:paraId="28BD92C7" w14:textId="77777777" w:rsidR="008A461B" w:rsidRDefault="008A461B" w:rsidP="008A461B">
      <w:pPr>
        <w:pStyle w:val="ListBulleted1"/>
      </w:pPr>
      <w:r>
        <w:t xml:space="preserve">A recovery from a failure mode corresponding to a software fault in the alarm server had not been considered. The IT support staff only determined on the day of the blackout that a full control system reboot would be required rather than just a restart of the alarm server. </w:t>
      </w:r>
    </w:p>
    <w:p w14:paraId="0BB498C3" w14:textId="19A188F0" w:rsidR="008A461B" w:rsidRDefault="008A461B" w:rsidP="008A461B">
      <w:pPr>
        <w:pStyle w:val="ListBulleted1"/>
      </w:pPr>
      <w:r>
        <w:t xml:space="preserve">The guidance in </w:t>
      </w:r>
      <w:commentRangeStart w:id="27"/>
      <w:r w:rsidR="00EF1CF9">
        <w:fldChar w:fldCharType="begin"/>
      </w:r>
      <w:r w:rsidR="00EF1CF9">
        <w:instrText xml:space="preserve"> REF _Ref386556818 \h </w:instrText>
      </w:r>
      <w:r w:rsidR="00EF1CF9">
        <w:fldChar w:fldCharType="separate"/>
      </w:r>
      <w:r w:rsidR="00EF1CF9">
        <w:t xml:space="preserve">Table </w:t>
      </w:r>
      <w:r w:rsidR="00EF1CF9">
        <w:rPr>
          <w:noProof/>
        </w:rPr>
        <w:t>1</w:t>
      </w:r>
      <w:r w:rsidR="00EF1CF9">
        <w:fldChar w:fldCharType="end"/>
      </w:r>
      <w:r w:rsidR="00EF1CF9">
        <w:t xml:space="preserve"> </w:t>
      </w:r>
      <w:r>
        <w:t>r</w:t>
      </w:r>
      <w:commentRangeEnd w:id="27"/>
      <w:r w:rsidR="00EF1CF9">
        <w:rPr>
          <w:rStyle w:val="CommentReference"/>
          <w:rFonts w:ascii="Times" w:hAnsi="Times"/>
          <w:kern w:val="0"/>
        </w:rPr>
        <w:commentReference w:id="27"/>
      </w:r>
      <w:r>
        <w:t>ecommends that the design for sy</w:t>
      </w:r>
      <w:r>
        <w:t>s</w:t>
      </w:r>
      <w:r>
        <w:t>tem recovery should assume that failures could arise from currently unknown or rarely occurring faults. Software perfection was implicitly assumed by the utility from two perspectives. There was likely over conf</w:t>
      </w:r>
      <w:r>
        <w:t>i</w:t>
      </w:r>
      <w:r>
        <w:t>dence in the alarm server software and implicitly in the commercial organization that deve</w:t>
      </w:r>
      <w:r>
        <w:t>l</w:t>
      </w:r>
      <w:r>
        <w:t>oped it. The IT support staff said they had encountered only minor problems with the alarm server. But the alarm software supported multi-tasking which should automatically raise rel</w:t>
      </w:r>
      <w:r>
        <w:t>i</w:t>
      </w:r>
      <w:r>
        <w:t>ability co</w:t>
      </w:r>
      <w:r>
        <w:t>n</w:t>
      </w:r>
      <w:r>
        <w:t>cerns. Careful engineering is required to avoid race conditions when accessing and modif</w:t>
      </w:r>
      <w:r>
        <w:t>y</w:t>
      </w:r>
      <w:r>
        <w:t>ing shared data. If the engineering choice is to use semaphores, experience shows that race conditions are likely. Race conditions had not been observed with this software. A fault such as a race condition is easy to ignore as it will occur only for a very specific set of ope</w:t>
      </w:r>
      <w:r>
        <w:t>r</w:t>
      </w:r>
      <w:r>
        <w:t>ating condition which may never occur. The only safe assumption is that unanticipated fai</w:t>
      </w:r>
      <w:r>
        <w:t>l</w:t>
      </w:r>
      <w:r>
        <w:t>ures will occur.</w:t>
      </w:r>
    </w:p>
    <w:p w14:paraId="2A553AB9" w14:textId="77777777" w:rsidR="008A461B" w:rsidRDefault="008A461B" w:rsidP="008A461B">
      <w:pPr>
        <w:pStyle w:val="ListBulleted1"/>
      </w:pPr>
      <w:r>
        <w:t>The utility had not explicitly considered how to continue operations if the alarm server r</w:t>
      </w:r>
      <w:r>
        <w:t>e</w:t>
      </w:r>
      <w:r>
        <w:t xml:space="preserve">covery failed. The assurance case shown in </w:t>
      </w:r>
      <w:r>
        <w:fldChar w:fldCharType="begin"/>
      </w:r>
      <w:r>
        <w:instrText xml:space="preserve"> REF _Ref377831071 \h  \* MERGEFORMAT </w:instrText>
      </w:r>
      <w:r>
        <w:fldChar w:fldCharType="separate"/>
      </w:r>
      <w:r w:rsidR="00EF1CF9">
        <w:t xml:space="preserve">Figure </w:t>
      </w:r>
      <w:r w:rsidR="00EF1CF9">
        <w:rPr>
          <w:noProof/>
        </w:rPr>
        <w:t>2</w:t>
      </w:r>
      <w:r>
        <w:fldChar w:fldCharType="end"/>
      </w:r>
      <w:r>
        <w:t xml:space="preserve"> demonstrated that a design that was very resilient, i.e., could tolerate the failure of any six of the claims. </w:t>
      </w:r>
    </w:p>
    <w:p w14:paraId="22BA826E" w14:textId="77777777" w:rsidR="008A461B" w:rsidRDefault="008A461B" w:rsidP="008A461B">
      <w:pPr>
        <w:pStyle w:val="Heading2"/>
      </w:pPr>
      <w:bookmarkStart w:id="28" w:name="_Toc380442693"/>
      <w:bookmarkStart w:id="29" w:name="_Toc382399375"/>
      <w:bookmarkStart w:id="30" w:name="_Toc383705574"/>
      <w:bookmarkStart w:id="31" w:name="_Toc388442954"/>
      <w:r>
        <w:t>Sustainment</w:t>
      </w:r>
      <w:bookmarkEnd w:id="28"/>
      <w:bookmarkEnd w:id="29"/>
      <w:bookmarkEnd w:id="30"/>
      <w:bookmarkEnd w:id="31"/>
      <w:r>
        <w:t xml:space="preserve"> </w:t>
      </w:r>
    </w:p>
    <w:p w14:paraId="682A8AC7" w14:textId="54CA66BC" w:rsidR="008A461B" w:rsidRDefault="00C55EDB" w:rsidP="008A461B">
      <w:pPr>
        <w:pStyle w:val="Body"/>
      </w:pPr>
      <w:r>
        <w:t>T</w:t>
      </w:r>
      <w:r w:rsidR="008A461B">
        <w:t>he risk of a system failure can increase over time because of changes in operational conditions and work processes. An assurance case that documents the assumptions, argument, and evidence that justify a claim can be used to monitor how changes affect the confidence associated with a claim.</w:t>
      </w:r>
    </w:p>
    <w:p w14:paraId="431AE5CF" w14:textId="77777777" w:rsidR="008A461B" w:rsidRDefault="008A461B" w:rsidP="008A461B">
      <w:pPr>
        <w:pStyle w:val="Body"/>
      </w:pPr>
      <w:r>
        <w:t xml:space="preserve">As an example, consider the assurance case for the utility shown in </w:t>
      </w:r>
      <w:r>
        <w:fldChar w:fldCharType="begin"/>
      </w:r>
      <w:r>
        <w:instrText xml:space="preserve"> REF _Ref377831071 \h </w:instrText>
      </w:r>
      <w:r>
        <w:fldChar w:fldCharType="separate"/>
      </w:r>
      <w:r w:rsidR="00EF1CF9">
        <w:t xml:space="preserve">Figure </w:t>
      </w:r>
      <w:r w:rsidR="00EF1CF9">
        <w:rPr>
          <w:noProof/>
        </w:rPr>
        <w:t>2</w:t>
      </w:r>
      <w:r>
        <w:fldChar w:fldCharType="end"/>
      </w:r>
      <w:r>
        <w:t>. The utility did not provide a visual map, there was no requirement for the computer support staff to notify the oper</w:t>
      </w:r>
      <w:r>
        <w:t>a</w:t>
      </w:r>
      <w:r>
        <w:t>tors of failures in the alarm service, and the alarm service recovery was designed only for a har</w:t>
      </w:r>
      <w:r>
        <w:t>d</w:t>
      </w:r>
      <w:r>
        <w:t xml:space="preserve">ware failure. The three remaining alternatives, the alarm service, operators monitoring the </w:t>
      </w:r>
      <w:r w:rsidRPr="00043EBE">
        <w:t>conti</w:t>
      </w:r>
      <w:r w:rsidRPr="00043EBE">
        <w:t>n</w:t>
      </w:r>
      <w:r w:rsidRPr="00043EBE">
        <w:t>gency analysis</w:t>
      </w:r>
      <w:r>
        <w:t>, and the independent monitoring capability, were assumed by the utility to provide sufficient resiliency. But at some point after the installation of the control system, problems o</w:t>
      </w:r>
      <w:r>
        <w:t>c</w:t>
      </w:r>
      <w:r>
        <w:t xml:space="preserve">curred with the automatic execution of the </w:t>
      </w:r>
      <w:r w:rsidRPr="007D591A">
        <w:t xml:space="preserve">contingency </w:t>
      </w:r>
      <w:r w:rsidRPr="0060144A">
        <w:t>analysis</w:t>
      </w:r>
      <w:r>
        <w:t xml:space="preserve"> tool. The loss of that automatic analysis would leave the utility dependent on a single internal resource, the alarm service. But the </w:t>
      </w:r>
      <w:r>
        <w:lastRenderedPageBreak/>
        <w:t xml:space="preserve">resultant significant reduction in resiliency did not appear to be considered when the decision was made that the operators should manually run that analysis only when needed. Now only two of the alternatives listed in the assurance case remained. Both of those alternatives failed the day of the blackout. A simple analysis of the assurance case supports a conclusion that a blackout was just ready to happen. That conclusion was strengthened as the NERC analysis team found deficiencies other than those that caused the 2003 blackout that—under different circumstances—could also have led to a blackout. </w:t>
      </w:r>
    </w:p>
    <w:p w14:paraId="737C9900" w14:textId="7B5B2A1A" w:rsidR="009A5FB9" w:rsidRDefault="009A5FB9" w:rsidP="009A5FB9">
      <w:pPr>
        <w:pStyle w:val="Heading1"/>
      </w:pPr>
      <w:bookmarkStart w:id="32" w:name="_Toc388442955"/>
      <w:bookmarkStart w:id="33" w:name="_Ref388443637"/>
      <w:r>
        <w:lastRenderedPageBreak/>
        <w:t>Module: Confidence</w:t>
      </w:r>
      <w:bookmarkEnd w:id="32"/>
      <w:bookmarkEnd w:id="33"/>
    </w:p>
    <w:p w14:paraId="26AD4205" w14:textId="77777777" w:rsidR="0019413F" w:rsidRDefault="0019413F" w:rsidP="0019413F">
      <w:pPr>
        <w:pStyle w:val="Body"/>
      </w:pPr>
      <w:r>
        <w:t>The participants in the recommended formal design reviews have to decide if they are confident that a proposed design will satisfy reliability requirements. An objective for incorporating sof</w:t>
      </w:r>
      <w:r>
        <w:t>t</w:t>
      </w:r>
      <w:r>
        <w:t>ware assurance into that review is for that judgment to be based on more than opinion. An assu</w:t>
      </w:r>
      <w:r>
        <w:t>r</w:t>
      </w:r>
      <w:r>
        <w:t>ance case provides a way to systematically do the analysis.</w:t>
      </w:r>
    </w:p>
    <w:p w14:paraId="5FCA8D5C" w14:textId="77777777" w:rsidR="0019413F" w:rsidRDefault="0019413F" w:rsidP="0019413F">
      <w:pPr>
        <w:pStyle w:val="Body"/>
      </w:pPr>
      <w:r>
        <w:t>How can we determine the confidence that a system will behave as expected? As noted in the di</w:t>
      </w:r>
      <w:r>
        <w:t>s</w:t>
      </w:r>
      <w:r>
        <w:t>cussion of the power grid blackout, a combination of conditions is frequently the cause of a sof</w:t>
      </w:r>
      <w:r>
        <w:t>t</w:t>
      </w:r>
      <w:r>
        <w:t xml:space="preserve">ware system failure. </w:t>
      </w:r>
      <w:r w:rsidRPr="00F06A12">
        <w:t xml:space="preserve">It is impossible to examine every possible </w:t>
      </w:r>
      <w:r>
        <w:t xml:space="preserve">combination of conditions that could affect a system. </w:t>
      </w:r>
    </w:p>
    <w:p w14:paraId="789DF090" w14:textId="77777777" w:rsidR="0019413F" w:rsidRDefault="0019413F" w:rsidP="0019413F">
      <w:pPr>
        <w:pStyle w:val="Body"/>
      </w:pPr>
      <w:r>
        <w:t>But achieving that confidence is important to those acquiring the system, those developing the system, and those using the system. Such confidence should be based on concrete evidence and not just on an opinion of the developers or reviewers. An assurance case provides the argument and evidence. Our level of confidence depends on understanding which evidence leads to an i</w:t>
      </w:r>
      <w:r>
        <w:t>n</w:t>
      </w:r>
      <w:r>
        <w:t>crease in the confidence that a system property holds and why specific evidence increases the co</w:t>
      </w:r>
      <w:r>
        <w:t>n</w:t>
      </w:r>
      <w:r>
        <w:t>fidence.</w:t>
      </w:r>
    </w:p>
    <w:p w14:paraId="76EB0CEC" w14:textId="77777777" w:rsidR="0019413F" w:rsidRDefault="0019413F" w:rsidP="0019413F">
      <w:pPr>
        <w:pStyle w:val="Heading2"/>
      </w:pPr>
      <w:bookmarkStart w:id="34" w:name="_Ref381020947"/>
      <w:bookmarkStart w:id="35" w:name="_Toc382399377"/>
      <w:bookmarkStart w:id="36" w:name="_Toc383705576"/>
      <w:bookmarkStart w:id="37" w:name="_Toc388442956"/>
      <w:r>
        <w:t>Eliminative Induction</w:t>
      </w:r>
      <w:bookmarkEnd w:id="34"/>
      <w:bookmarkEnd w:id="35"/>
      <w:bookmarkEnd w:id="36"/>
      <w:bookmarkEnd w:id="37"/>
    </w:p>
    <w:p w14:paraId="26D66C1D" w14:textId="77777777" w:rsidR="00FC78B9" w:rsidRDefault="00FC78B9" w:rsidP="00FC78B9">
      <w:pPr>
        <w:pStyle w:val="Body"/>
      </w:pPr>
      <w:r>
        <w:t xml:space="preserve">Reliability depends on identifying and mitigating potential faults. A design review should verify that faults associated with important business risks have been identified and mitigated by specific design features. </w:t>
      </w:r>
      <w:r w:rsidRPr="00FB3D2D">
        <w:t xml:space="preserve">Hardware reliability such as for a disk drive can draw on documented design rules based on actual usage. Software reliability has not matured to the same state. </w:t>
      </w:r>
      <w:r>
        <w:t>Software inte</w:t>
      </w:r>
      <w:r>
        <w:t>n</w:t>
      </w:r>
      <w:r>
        <w:t>sive systems are complex, and it should not be surprising that the analysis done by even an expert designer could be incomplete and has overlooked a risk or made simplifying but invalid develo</w:t>
      </w:r>
      <w:r>
        <w:t>p</w:t>
      </w:r>
      <w:r>
        <w:t xml:space="preserve">ment and operating assumptions. </w:t>
      </w:r>
    </w:p>
    <w:p w14:paraId="0AFE5E1E" w14:textId="77777777" w:rsidR="00FC78B9" w:rsidRDefault="00FC78B9" w:rsidP="00FC78B9">
      <w:pPr>
        <w:pStyle w:val="Body"/>
      </w:pPr>
      <w:r>
        <w:t>A secure system must also be reliable. For reliability, the activities in the design phase of a cu</w:t>
      </w:r>
      <w:r>
        <w:t>s</w:t>
      </w:r>
      <w:r>
        <w:t>tom developed system should identify possible failure modes and how they might affect oper</w:t>
      </w:r>
      <w:r>
        <w:t>a</w:t>
      </w:r>
      <w:r>
        <w:t xml:space="preserve">tions. For security, an attacker compromises a system by exploiting the response to unanticipated conditions. The security failure modes are the exploitable conditions such as invalid input that can be created by an attacker. </w:t>
      </w:r>
    </w:p>
    <w:p w14:paraId="5B6D669C" w14:textId="77777777" w:rsidR="00FC78B9" w:rsidRDefault="00FC78B9" w:rsidP="00FC78B9">
      <w:pPr>
        <w:pStyle w:val="Heading2"/>
        <w:tabs>
          <w:tab w:val="clear" w:pos="2826"/>
        </w:tabs>
      </w:pPr>
      <w:bookmarkStart w:id="38" w:name="_Toc387057534"/>
      <w:bookmarkStart w:id="39" w:name="_Toc388442957"/>
      <w:r>
        <w:t>Software Assurance Justification</w:t>
      </w:r>
      <w:bookmarkEnd w:id="38"/>
      <w:bookmarkEnd w:id="39"/>
    </w:p>
    <w:p w14:paraId="0F0653FA" w14:textId="77777777" w:rsidR="00FC78B9" w:rsidRDefault="00FC78B9" w:rsidP="00FC78B9">
      <w:pPr>
        <w:pStyle w:val="Body"/>
      </w:pPr>
      <w:r>
        <w:t>For example, developers might be asked during a review why they are sure that XSS vulnerabil</w:t>
      </w:r>
      <w:r>
        <w:t>i</w:t>
      </w:r>
      <w:r>
        <w:t xml:space="preserve">ties have been sufficiently mitigated, i.e. from a software assurance perspective what confidence is associated with the design. </w:t>
      </w:r>
    </w:p>
    <w:p w14:paraId="00D0677B" w14:textId="77777777" w:rsidR="00FC78B9" w:rsidRDefault="00FC78B9" w:rsidP="00FC78B9">
      <w:pPr>
        <w:pStyle w:val="Body"/>
      </w:pPr>
      <w:r>
        <w:t xml:space="preserve">A justification of an engineering decision has to be based on more than opinion. A review should be based on a </w:t>
      </w:r>
      <w:r w:rsidRPr="00CD7A7C">
        <w:t xml:space="preserve">documented body of </w:t>
      </w:r>
      <w:r w:rsidRPr="00CD7A7C">
        <w:rPr>
          <w:i/>
          <w:iCs/>
        </w:rPr>
        <w:t>evidence</w:t>
      </w:r>
      <w:r w:rsidRPr="00CD7A7C">
        <w:t xml:space="preserve"> that provides a convincing and valid </w:t>
      </w:r>
      <w:r w:rsidRPr="00DF0383">
        <w:rPr>
          <w:i/>
          <w:iCs/>
        </w:rPr>
        <w:t>argument</w:t>
      </w:r>
      <w:r w:rsidRPr="00DF0383">
        <w:t xml:space="preserve"> </w:t>
      </w:r>
      <w:r>
        <w:t xml:space="preserve"> t</w:t>
      </w:r>
      <w:r w:rsidRPr="00DF0383">
        <w:t xml:space="preserve">hat a specified set of critical </w:t>
      </w:r>
      <w:r w:rsidRPr="00DF0383">
        <w:rPr>
          <w:i/>
          <w:iCs/>
        </w:rPr>
        <w:t>claims</w:t>
      </w:r>
      <w:r w:rsidRPr="00DF0383">
        <w:t xml:space="preserve"> about a system’s properties are adequately justified for a given a</w:t>
      </w:r>
      <w:r w:rsidRPr="00DF0383">
        <w:t>p</w:t>
      </w:r>
      <w:r w:rsidRPr="00DF0383">
        <w:t>plication in a given environment.</w:t>
      </w:r>
      <w:r>
        <w:t xml:space="preserve">  The argument is that input routines use a vetted library to verify </w:t>
      </w:r>
      <w:r>
        <w:lastRenderedPageBreak/>
        <w:t xml:space="preserve">input data and the evidence that supports that argument includes library documentation that the vetting requirements are met and results from the CIAQ scans that show that the library has been used where required. </w:t>
      </w:r>
    </w:p>
    <w:p w14:paraId="561E7C00" w14:textId="77777777" w:rsidR="00FC78B9" w:rsidRDefault="00FC78B9" w:rsidP="00FC78B9">
      <w:pPr>
        <w:pStyle w:val="Body"/>
      </w:pPr>
      <w:r>
        <w:t>Such a justification is called an assurance case. An assurance case does not imply any kind of guarantee or certification. It is simply a way to document the rationale behind system design dec</w:t>
      </w:r>
      <w:r>
        <w:t>i</w:t>
      </w:r>
      <w:r>
        <w:t>sions.</w:t>
      </w:r>
    </w:p>
    <w:p w14:paraId="6A87ED2E" w14:textId="77777777" w:rsidR="00FC78B9" w:rsidRDefault="00FC78B9" w:rsidP="00FC78B9">
      <w:pPr>
        <w:pStyle w:val="Body"/>
        <w:ind w:left="216"/>
      </w:pPr>
      <w:r w:rsidRPr="00CD7A7C">
        <w:rPr>
          <w:b/>
          <w:bCs/>
        </w:rPr>
        <w:t>Assurance case</w:t>
      </w:r>
      <w:r w:rsidRPr="00CD7A7C">
        <w:t>:</w:t>
      </w:r>
      <w:r w:rsidRPr="007916A5">
        <w:t xml:space="preserve"> </w:t>
      </w:r>
      <w:r w:rsidRPr="00CD7A7C">
        <w:t xml:space="preserve">a documented body of </w:t>
      </w:r>
      <w:r w:rsidRPr="00CD7A7C">
        <w:rPr>
          <w:i/>
          <w:iCs/>
        </w:rPr>
        <w:t>evidence</w:t>
      </w:r>
      <w:r w:rsidRPr="00CD7A7C">
        <w:t xml:space="preserve"> that provides a convincing and valid </w:t>
      </w:r>
      <w:r w:rsidRPr="00DF0383">
        <w:rPr>
          <w:i/>
          <w:iCs/>
        </w:rPr>
        <w:t>arg</w:t>
      </w:r>
      <w:r w:rsidRPr="00DF0383">
        <w:rPr>
          <w:i/>
          <w:iCs/>
        </w:rPr>
        <w:t>u</w:t>
      </w:r>
      <w:r w:rsidRPr="00DF0383">
        <w:rPr>
          <w:i/>
          <w:iCs/>
        </w:rPr>
        <w:t>ment</w:t>
      </w:r>
      <w:r w:rsidRPr="00DF0383">
        <w:t xml:space="preserve"> that a specified set of critical </w:t>
      </w:r>
      <w:r w:rsidRPr="00DF0383">
        <w:rPr>
          <w:i/>
          <w:iCs/>
        </w:rPr>
        <w:t>claims</w:t>
      </w:r>
      <w:r w:rsidRPr="00DF0383">
        <w:t xml:space="preserve"> about a system’s properties are adequately justified for a given application in a given environment.</w:t>
      </w:r>
    </w:p>
    <w:p w14:paraId="7BA2F990" w14:textId="77777777" w:rsidR="00FC78B9" w:rsidRDefault="00FC78B9" w:rsidP="00FC78B9">
      <w:pPr>
        <w:pStyle w:val="Body"/>
      </w:pPr>
      <w:r>
        <w:t xml:space="preserve">A graphical representation of XSS justification using the </w:t>
      </w:r>
      <w:r w:rsidRPr="00B85F6E">
        <w:t>Goal Structured Notation (GSN)</w:t>
      </w:r>
      <w:r>
        <w:t xml:space="preserve"> is shown </w:t>
      </w:r>
      <w:r>
        <w:fldChar w:fldCharType="begin"/>
      </w:r>
      <w:r>
        <w:instrText xml:space="preserve"> REF _Ref386795359 \h </w:instrText>
      </w:r>
      <w:r>
        <w:fldChar w:fldCharType="separate"/>
      </w:r>
      <w:r w:rsidR="00EF1CF9">
        <w:t xml:space="preserve">Figure </w:t>
      </w:r>
      <w:r w:rsidR="00EF1CF9">
        <w:rPr>
          <w:noProof/>
        </w:rPr>
        <w:t>3</w:t>
      </w:r>
      <w:r>
        <w:fldChar w:fldCharType="end"/>
      </w:r>
      <w:r>
        <w:t xml:space="preserve">. GSN is used extensively for safety assurance cases [Kelly 2004].  The graphical notation which is shown in </w:t>
      </w:r>
      <w:r>
        <w:fldChar w:fldCharType="begin"/>
      </w:r>
      <w:r>
        <w:instrText xml:space="preserve"> REF _Ref386990521 \h </w:instrText>
      </w:r>
      <w:r>
        <w:fldChar w:fldCharType="separate"/>
      </w:r>
      <w:r w:rsidR="00EF1CF9">
        <w:t xml:space="preserve">Figure </w:t>
      </w:r>
      <w:r w:rsidR="00EF1CF9">
        <w:rPr>
          <w:noProof/>
        </w:rPr>
        <w:t>4</w:t>
      </w:r>
      <w:r>
        <w:fldChar w:fldCharType="end"/>
      </w:r>
      <w:r>
        <w:t xml:space="preserve"> provides a concise and understandable way to document the justification for a system property claim.</w:t>
      </w:r>
    </w:p>
    <w:p w14:paraId="364D132E" w14:textId="77777777" w:rsidR="00FC78B9" w:rsidRDefault="00FC78B9" w:rsidP="00FC78B9">
      <w:pPr>
        <w:pStyle w:val="Body"/>
      </w:pPr>
    </w:p>
    <w:p w14:paraId="45E5ADF1" w14:textId="77777777" w:rsidR="00FC78B9" w:rsidRDefault="00FC78B9" w:rsidP="00FC78B9">
      <w:pPr>
        <w:pStyle w:val="Body"/>
      </w:pPr>
    </w:p>
    <w:p w14:paraId="174ED56A" w14:textId="77777777" w:rsidR="00FC78B9" w:rsidRDefault="00FC78B9" w:rsidP="00FC78B9">
      <w:pPr>
        <w:pStyle w:val="Body"/>
      </w:pPr>
      <w:r>
        <w:rPr>
          <w:noProof/>
        </w:rPr>
        <w:drawing>
          <wp:inline distT="0" distB="0" distL="0" distR="0" wp14:anchorId="3AFA277B" wp14:editId="29C95F38">
            <wp:extent cx="3657600" cy="1878562"/>
            <wp:effectExtent l="0" t="0" r="0" b="7620"/>
            <wp:docPr id="6" name="Picture 6" descr="C:\Users\ellison\Documents\Working\To Do\CyberAssurance\Quality\TN\AssuranceSQ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llison\Documents\Working\To Do\CyberAssurance\Quality\TN\AssuranceSQL.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57600" cy="1878562"/>
                    </a:xfrm>
                    <a:prstGeom prst="rect">
                      <a:avLst/>
                    </a:prstGeom>
                    <a:noFill/>
                    <a:ln>
                      <a:noFill/>
                    </a:ln>
                  </pic:spPr>
                </pic:pic>
              </a:graphicData>
            </a:graphic>
          </wp:inline>
        </w:drawing>
      </w:r>
    </w:p>
    <w:p w14:paraId="465DF556" w14:textId="77777777" w:rsidR="00FC78B9" w:rsidRDefault="00FC78B9" w:rsidP="00FC78B9">
      <w:pPr>
        <w:pStyle w:val="Caption"/>
      </w:pPr>
      <w:bookmarkStart w:id="40" w:name="_Ref386795359"/>
      <w:bookmarkStart w:id="41" w:name="_Toc387057727"/>
      <w:r>
        <w:t xml:space="preserve">Figure </w:t>
      </w:r>
      <w:fldSimple w:instr=" SEQ Figure \* ARABIC ">
        <w:r w:rsidR="00EF1CF9">
          <w:rPr>
            <w:noProof/>
          </w:rPr>
          <w:t>3</w:t>
        </w:r>
      </w:fldSimple>
      <w:bookmarkEnd w:id="40"/>
      <w:r>
        <w:t>: Justify XSS Mitigation</w:t>
      </w:r>
      <w:bookmarkEnd w:id="41"/>
    </w:p>
    <w:p w14:paraId="7C6A34A0" w14:textId="77777777" w:rsidR="00D62D52" w:rsidRDefault="00D62D52" w:rsidP="00D62D52">
      <w:pPr>
        <w:pStyle w:val="Body"/>
      </w:pPr>
    </w:p>
    <w:p w14:paraId="1D99B611" w14:textId="77777777" w:rsidR="00FC78B9" w:rsidRDefault="00FC78B9" w:rsidP="00FC78B9">
      <w:pPr>
        <w:pStyle w:val="Body"/>
      </w:pPr>
      <w:r>
        <w:rPr>
          <w:noProof/>
        </w:rPr>
        <w:drawing>
          <wp:inline distT="0" distB="0" distL="0" distR="0" wp14:anchorId="2D56B066" wp14:editId="71BA16B6">
            <wp:extent cx="4585970" cy="1697355"/>
            <wp:effectExtent l="0" t="0" r="5080" b="0"/>
            <wp:docPr id="10" name="Picture 10" descr="C:\Users\ellison\Documents\Working\To Do\CyberAssurance\Quality\TN\GS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ison\Documents\Working\To Do\CyberAssurance\Quality\TN\GSN.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85970" cy="1697355"/>
                    </a:xfrm>
                    <a:prstGeom prst="rect">
                      <a:avLst/>
                    </a:prstGeom>
                    <a:noFill/>
                    <a:ln>
                      <a:noFill/>
                    </a:ln>
                  </pic:spPr>
                </pic:pic>
              </a:graphicData>
            </a:graphic>
          </wp:inline>
        </w:drawing>
      </w:r>
    </w:p>
    <w:p w14:paraId="2CEA6B24" w14:textId="77777777" w:rsidR="00FC78B9" w:rsidRDefault="00FC78B9" w:rsidP="00FC78B9">
      <w:pPr>
        <w:pStyle w:val="Caption"/>
      </w:pPr>
      <w:bookmarkStart w:id="42" w:name="_Ref386990521"/>
      <w:bookmarkStart w:id="43" w:name="_Toc387057728"/>
      <w:r>
        <w:t xml:space="preserve">Figure </w:t>
      </w:r>
      <w:fldSimple w:instr=" SEQ Figure \* ARABIC ">
        <w:r w:rsidR="00EF1CF9">
          <w:rPr>
            <w:noProof/>
          </w:rPr>
          <w:t>4</w:t>
        </w:r>
      </w:fldSimple>
      <w:bookmarkEnd w:id="42"/>
      <w:r>
        <w:t>: Goal Structured Notation</w:t>
      </w:r>
      <w:bookmarkEnd w:id="43"/>
    </w:p>
    <w:p w14:paraId="381D0A10" w14:textId="77777777" w:rsidR="00FC78B9" w:rsidRDefault="00FC78B9" w:rsidP="00FC78B9">
      <w:pPr>
        <w:pStyle w:val="Heading2"/>
        <w:tabs>
          <w:tab w:val="clear" w:pos="2826"/>
          <w:tab w:val="num" w:pos="6786"/>
        </w:tabs>
      </w:pPr>
      <w:bookmarkStart w:id="44" w:name="_Toc387057535"/>
      <w:bookmarkStart w:id="45" w:name="_Toc388442958"/>
      <w:r>
        <w:lastRenderedPageBreak/>
        <w:t>Reviews and Development as an Assurance Case</w:t>
      </w:r>
      <w:bookmarkEnd w:id="44"/>
      <w:bookmarkEnd w:id="45"/>
      <w:r>
        <w:t xml:space="preserve"> </w:t>
      </w:r>
    </w:p>
    <w:p w14:paraId="4D17D450" w14:textId="77777777" w:rsidR="00FC78B9" w:rsidRDefault="00FC78B9" w:rsidP="00FC78B9">
      <w:pPr>
        <w:pStyle w:val="Body"/>
      </w:pPr>
      <w:r>
        <w:t>An implicit assurance case is typically created during a system review.  Instead of trying to est</w:t>
      </w:r>
      <w:r>
        <w:t>i</w:t>
      </w:r>
      <w:r>
        <w:t>mate the likelihood that system claims made by a developer are true, a reviewer is more likely to look for reasons the claim may be false. For example, a reviewer might doubt the evidence pr</w:t>
      </w:r>
      <w:r>
        <w:t>o</w:t>
      </w:r>
      <w:r>
        <w:t xml:space="preserve">vided for any of the following reasons.  </w:t>
      </w:r>
    </w:p>
    <w:p w14:paraId="2638EC5D" w14:textId="77777777" w:rsidR="00FC78B9" w:rsidRDefault="00FC78B9" w:rsidP="00FC78B9">
      <w:pPr>
        <w:pStyle w:val="ListBulleted1"/>
      </w:pPr>
      <w:r>
        <w:t>The test plans include all of the hazards identified during design.</w:t>
      </w:r>
    </w:p>
    <w:p w14:paraId="70D06374" w14:textId="77777777" w:rsidR="00FC78B9" w:rsidRDefault="00FC78B9" w:rsidP="00FC78B9">
      <w:pPr>
        <w:pStyle w:val="ListBulleted1"/>
      </w:pPr>
      <w:r>
        <w:t>The acquirer did provide sufficient data to validate the modeling and simulations.</w:t>
      </w:r>
    </w:p>
    <w:p w14:paraId="058457C6" w14:textId="77777777" w:rsidR="00FC78B9" w:rsidRDefault="00FC78B9" w:rsidP="00FC78B9">
      <w:pPr>
        <w:pStyle w:val="ListBulleted1"/>
      </w:pPr>
      <w:r>
        <w:t>The integration testing did adequately test recovery following component failures.</w:t>
      </w:r>
    </w:p>
    <w:p w14:paraId="3595FB44" w14:textId="77777777" w:rsidR="00FC78B9" w:rsidRDefault="00FC78B9" w:rsidP="00FC78B9">
      <w:pPr>
        <w:pStyle w:val="Body"/>
      </w:pPr>
      <w:r>
        <w:t xml:space="preserve">The existence of any of the practices in the Poor Result column of </w:t>
      </w:r>
      <w:commentRangeStart w:id="46"/>
      <w:r>
        <w:fldChar w:fldCharType="begin"/>
      </w:r>
      <w:r>
        <w:instrText xml:space="preserve"> REF _Ref386198546 \h </w:instrText>
      </w:r>
      <w:r>
        <w:fldChar w:fldCharType="separate"/>
      </w:r>
      <w:r w:rsidR="00EF1CF9">
        <w:rPr>
          <w:b/>
          <w:bCs/>
        </w:rPr>
        <w:t>Error! Reference source not found.</w:t>
      </w:r>
      <w:r>
        <w:fldChar w:fldCharType="end"/>
      </w:r>
      <w:commentRangeEnd w:id="46"/>
      <w:r w:rsidR="00EF1CF9">
        <w:rPr>
          <w:rStyle w:val="CommentReference"/>
          <w:rFonts w:ascii="Times" w:hAnsi="Times"/>
          <w:color w:val="auto"/>
          <w:kern w:val="0"/>
        </w:rPr>
        <w:commentReference w:id="46"/>
      </w:r>
      <w:r>
        <w:t xml:space="preserve"> </w:t>
      </w:r>
      <w:proofErr w:type="gramStart"/>
      <w:r>
        <w:t>such</w:t>
      </w:r>
      <w:proofErr w:type="gramEnd"/>
      <w:r>
        <w:t xml:space="preserve"> as t</w:t>
      </w:r>
      <w:r w:rsidRPr="0028563E">
        <w:t xml:space="preserve">esting </w:t>
      </w:r>
      <w:r>
        <w:t>being the primary form of defect removal should raise doubts about a claim.</w:t>
      </w:r>
    </w:p>
    <w:p w14:paraId="55D5260F" w14:textId="44DB9094" w:rsidR="00FC78B9" w:rsidRDefault="00FC78B9" w:rsidP="00FC78B9">
      <w:pPr>
        <w:pStyle w:val="Body"/>
      </w:pPr>
      <w:r>
        <w:t>It is not at all obvious, but such an appro</w:t>
      </w:r>
      <w:r w:rsidR="0038205A">
        <w:t xml:space="preserve">ach is constructing an </w:t>
      </w:r>
      <w:r>
        <w:t xml:space="preserve">assurance case for a claim. Instead of constructing an argument for the validity of a claim such shown in </w:t>
      </w:r>
      <w:r>
        <w:fldChar w:fldCharType="begin"/>
      </w:r>
      <w:r>
        <w:instrText xml:space="preserve"> REF _Ref386795359 \h </w:instrText>
      </w:r>
      <w:r>
        <w:fldChar w:fldCharType="separate"/>
      </w:r>
      <w:r w:rsidR="00EF1CF9">
        <w:t xml:space="preserve">Figure </w:t>
      </w:r>
      <w:r w:rsidR="00EF1CF9">
        <w:rPr>
          <w:noProof/>
        </w:rPr>
        <w:t>3</w:t>
      </w:r>
      <w:r>
        <w:fldChar w:fldCharType="end"/>
      </w:r>
      <w:r>
        <w:t xml:space="preserve"> , we identify the various </w:t>
      </w:r>
      <w:r w:rsidRPr="0042093A">
        <w:t xml:space="preserve">possibilities </w:t>
      </w:r>
      <w:r>
        <w:t>for why the claim could be false. An assurance case now consists of gathe</w:t>
      </w:r>
      <w:r>
        <w:t>r</w:t>
      </w:r>
      <w:r>
        <w:t>ing evidence or performing analysis that removes those possibilities. The SEI refers to the grap</w:t>
      </w:r>
      <w:r>
        <w:t>h</w:t>
      </w:r>
      <w:r>
        <w:t xml:space="preserve">ical representation of the assurance case created by eliminating doubts as a confidence map. </w:t>
      </w:r>
      <w:r w:rsidRPr="0042093A">
        <w:t xml:space="preserve">Each eliminated possibility removes a reason for doubt and thereby increases our confidence in the </w:t>
      </w:r>
      <w:r>
        <w:t>claim</w:t>
      </w:r>
      <w:r w:rsidRPr="0042093A">
        <w:t>.</w:t>
      </w:r>
      <w:r>
        <w:t xml:space="preserve"> The expectation during a review is that the developer is able to show how to eliminate the doubts that are raised. </w:t>
      </w:r>
    </w:p>
    <w:p w14:paraId="6D21FCCA" w14:textId="77777777" w:rsidR="00FC78B9" w:rsidRDefault="00FC78B9" w:rsidP="00FC78B9">
      <w:pPr>
        <w:pStyle w:val="Body"/>
        <w:keepNext/>
      </w:pPr>
      <w:r>
        <w:rPr>
          <w:noProof/>
        </w:rPr>
        <w:drawing>
          <wp:inline distT="0" distB="0" distL="0" distR="0" wp14:anchorId="0B064645" wp14:editId="0AC28C2D">
            <wp:extent cx="3566160" cy="1237370"/>
            <wp:effectExtent l="0" t="0" r="0" b="1270"/>
            <wp:docPr id="11" name="Picture 11" descr="C:\Users\ellison\Documents\Working\To Do\CyberAssurance\ONI\Confidence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llison\Documents\Working\To Do\CyberAssurance\ONI\ConfidenceMap.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566160" cy="1237370"/>
                    </a:xfrm>
                    <a:prstGeom prst="rect">
                      <a:avLst/>
                    </a:prstGeom>
                    <a:noFill/>
                    <a:ln>
                      <a:noFill/>
                    </a:ln>
                  </pic:spPr>
                </pic:pic>
              </a:graphicData>
            </a:graphic>
          </wp:inline>
        </w:drawing>
      </w:r>
    </w:p>
    <w:p w14:paraId="4BEBCE70" w14:textId="77777777" w:rsidR="00FC78B9" w:rsidRDefault="00FC78B9" w:rsidP="00FC78B9">
      <w:pPr>
        <w:pStyle w:val="Caption"/>
      </w:pPr>
      <w:bookmarkStart w:id="47" w:name="_Toc387057729"/>
      <w:r>
        <w:t xml:space="preserve">Figure </w:t>
      </w:r>
      <w:fldSimple w:instr=" SEQ Figure \* ARABIC ">
        <w:r w:rsidR="00EF1CF9">
          <w:rPr>
            <w:noProof/>
          </w:rPr>
          <w:t>5</w:t>
        </w:r>
      </w:fldSimple>
      <w:r>
        <w:t>: Confidence Map</w:t>
      </w:r>
      <w:bookmarkEnd w:id="47"/>
    </w:p>
    <w:p w14:paraId="305B7EAC" w14:textId="77777777" w:rsidR="00FC78B9" w:rsidRDefault="00FC78B9" w:rsidP="00FC78B9">
      <w:pPr>
        <w:pStyle w:val="Body"/>
      </w:pPr>
      <w:r>
        <w:t>Similar reasoning supports a security risk assessment such as threat modeling. As noted earlier, defects such as XSS vulnerabilities</w:t>
      </w:r>
      <w:r w:rsidRPr="00125EE4">
        <w:t xml:space="preserve"> or unsecure dynamic SQL queries</w:t>
      </w:r>
      <w:r>
        <w:t xml:space="preserve"> typically involve multiple layers of a system. Threat modeling analyzes the data flows across those layers and well as any external dependencies to identify how a design could be compromised, an explicit search for p</w:t>
      </w:r>
      <w:r>
        <w:t>o</w:t>
      </w:r>
      <w:r>
        <w:t xml:space="preserve">tential defects. One objective of threat modeling is to find exceptions to a claim of security.  </w:t>
      </w:r>
    </w:p>
    <w:p w14:paraId="41175A1C" w14:textId="77777777" w:rsidR="00FC78B9" w:rsidRDefault="00FC78B9" w:rsidP="00FC78B9">
      <w:pPr>
        <w:pStyle w:val="Heading2"/>
        <w:tabs>
          <w:tab w:val="clear" w:pos="2826"/>
        </w:tabs>
      </w:pPr>
      <w:bookmarkStart w:id="48" w:name="_Toc387057536"/>
      <w:bookmarkStart w:id="49" w:name="_Toc388442959"/>
      <w:r>
        <w:t>Eliminative Induction</w:t>
      </w:r>
      <w:bookmarkEnd w:id="48"/>
      <w:bookmarkEnd w:id="49"/>
    </w:p>
    <w:p w14:paraId="37E8C4E8" w14:textId="77777777" w:rsidR="00FC78B9" w:rsidRDefault="00FC78B9" w:rsidP="00FC78B9">
      <w:pPr>
        <w:pStyle w:val="Body"/>
      </w:pPr>
      <w:r>
        <w:t xml:space="preserve">A claim is tentative. We cannot deductively prove using the argument in an assurance case that the evidence </w:t>
      </w:r>
      <w:r w:rsidRPr="00471AD2">
        <w:rPr>
          <w:b/>
        </w:rPr>
        <w:t>E</w:t>
      </w:r>
      <w:r>
        <w:t xml:space="preserve"> proves the claim </w:t>
      </w:r>
      <w:r w:rsidRPr="00471AD2">
        <w:rPr>
          <w:b/>
        </w:rPr>
        <w:t>C</w:t>
      </w:r>
      <w:r>
        <w:t xml:space="preserve"> is true. Additional information could show that it is false. R</w:t>
      </w:r>
      <w:r>
        <w:t>a</w:t>
      </w:r>
      <w:r>
        <w:t xml:space="preserve">ther our logic looks like </w:t>
      </w:r>
    </w:p>
    <w:p w14:paraId="77D6BEDC" w14:textId="77777777" w:rsidR="00FC78B9" w:rsidRPr="00B34791" w:rsidRDefault="00FC78B9" w:rsidP="00FC78B9">
      <w:pPr>
        <w:pStyle w:val="Body"/>
        <w:jc w:val="center"/>
        <w:rPr>
          <w:bCs/>
        </w:rPr>
      </w:pPr>
      <w:r w:rsidRPr="00B34791">
        <w:t xml:space="preserve">if </w:t>
      </w:r>
      <w:r w:rsidRPr="00B34791">
        <w:rPr>
          <w:b/>
        </w:rPr>
        <w:t>E</w:t>
      </w:r>
      <w:r w:rsidRPr="00B34791">
        <w:t xml:space="preserve"> then (usually) </w:t>
      </w:r>
      <w:r w:rsidRPr="00B34791">
        <w:rPr>
          <w:b/>
        </w:rPr>
        <w:t>C</w:t>
      </w:r>
      <w:r w:rsidRPr="00B34791">
        <w:t xml:space="preserve"> unless </w:t>
      </w:r>
      <w:r w:rsidRPr="00B34791">
        <w:rPr>
          <w:b/>
        </w:rPr>
        <w:t xml:space="preserve">R, S, T, </w:t>
      </w:r>
      <w:r w:rsidRPr="00B34791">
        <w:rPr>
          <w:b/>
          <w:bCs/>
        </w:rPr>
        <w:t>…</w:t>
      </w:r>
    </w:p>
    <w:p w14:paraId="0465022D" w14:textId="77777777" w:rsidR="00FC78B9" w:rsidRDefault="00FC78B9" w:rsidP="00FC78B9">
      <w:pPr>
        <w:pStyle w:val="Body"/>
      </w:pPr>
      <w:r>
        <w:lastRenderedPageBreak/>
        <w:t xml:space="preserve">where </w:t>
      </w:r>
      <w:r>
        <w:rPr>
          <w:b/>
        </w:rPr>
        <w:t>R,S,T…</w:t>
      </w:r>
      <w:r>
        <w:t xml:space="preserve"> are exceptions. The doubts identified during design review are the potential e</w:t>
      </w:r>
      <w:r>
        <w:t>x</w:t>
      </w:r>
      <w:r>
        <w:t xml:space="preserve">ceptions to the claim. Removing doubts about a claim is called </w:t>
      </w:r>
      <w:r w:rsidRPr="006C4A31">
        <w:t>eliminative induction.</w:t>
      </w:r>
      <w:r>
        <w:t xml:space="preserve"> These e</w:t>
      </w:r>
      <w:r>
        <w:t>x</w:t>
      </w:r>
      <w:r>
        <w:t>ceptions are called defeaters. Each defeater is a source of doubt about the truth of a claim. The research done for confidence has identified three classes of defeaters that are applicable for a ju</w:t>
      </w:r>
      <w:r>
        <w:t>s</w:t>
      </w:r>
      <w:r>
        <w:t>tification of an assurance claim. An assurance justification has the form</w:t>
      </w:r>
    </w:p>
    <w:p w14:paraId="32111C64" w14:textId="77777777" w:rsidR="00FC78B9" w:rsidRDefault="00FC78B9" w:rsidP="00FC78B9">
      <w:pPr>
        <w:pStyle w:val="ListMultilist1"/>
        <w:jc w:val="center"/>
      </w:pPr>
      <w:r w:rsidRPr="00E770D2">
        <w:rPr>
          <w:i/>
          <w:u w:val="single"/>
        </w:rPr>
        <w:t>Argument</w:t>
      </w:r>
      <w:r>
        <w:t xml:space="preserve"> shows </w:t>
      </w:r>
      <w:r w:rsidRPr="00E770D2">
        <w:rPr>
          <w:i/>
          <w:u w:val="single"/>
        </w:rPr>
        <w:t>Evidence</w:t>
      </w:r>
      <w:r w:rsidRPr="00E770D2">
        <w:rPr>
          <w:i/>
        </w:rPr>
        <w:t xml:space="preserve"> </w:t>
      </w:r>
      <w:r>
        <w:t xml:space="preserve">confirms </w:t>
      </w:r>
      <w:r w:rsidRPr="008844D6">
        <w:rPr>
          <w:i/>
          <w:u w:val="single"/>
        </w:rPr>
        <w:t>Claim</w:t>
      </w:r>
    </w:p>
    <w:p w14:paraId="557AE9F7" w14:textId="77777777" w:rsidR="00FC78B9" w:rsidRDefault="00FC78B9" w:rsidP="00FC78B9">
      <w:pPr>
        <w:pStyle w:val="Body"/>
      </w:pPr>
      <w:r>
        <w:t xml:space="preserve">The three classes of defeaters are </w:t>
      </w:r>
    </w:p>
    <w:p w14:paraId="676E8710" w14:textId="77777777" w:rsidR="00FC78B9" w:rsidRDefault="00FC78B9" w:rsidP="00FC78B9">
      <w:pPr>
        <w:pStyle w:val="ListNumbered1"/>
      </w:pPr>
      <w:r w:rsidRPr="00944BA3">
        <w:rPr>
          <w:b/>
        </w:rPr>
        <w:t>Doubt the claim:</w:t>
      </w:r>
      <w:r w:rsidRPr="002F64AB">
        <w:t xml:space="preserve"> There is information that contradicts or rebuts a claim. The cause can be a combination of a poor argument and insufficient evidence. </w:t>
      </w:r>
      <w:r>
        <w:t>Referred to as rebutters in the li</w:t>
      </w:r>
      <w:r>
        <w:t>t</w:t>
      </w:r>
      <w:r>
        <w:t>erature.</w:t>
      </w:r>
    </w:p>
    <w:p w14:paraId="164064F4" w14:textId="77777777" w:rsidR="00FC78B9" w:rsidRPr="002F64AB" w:rsidRDefault="00FC78B9" w:rsidP="00FC78B9">
      <w:pPr>
        <w:pStyle w:val="ListNumbered1"/>
      </w:pPr>
      <w:r w:rsidRPr="00231BC6">
        <w:rPr>
          <w:b/>
        </w:rPr>
        <w:t>Doubt the argument:</w:t>
      </w:r>
      <w:r>
        <w:t xml:space="preserve"> </w:t>
      </w:r>
      <w:r w:rsidRPr="002F64AB">
        <w:t>There are specific conditions under which the claim is not necessarily true even though the premises (i.e.</w:t>
      </w:r>
      <w:r>
        <w:t>,</w:t>
      </w:r>
      <w:r w:rsidRPr="002F64AB">
        <w:t xml:space="preserve"> evidence) are true. Such conditions create doubts or u</w:t>
      </w:r>
      <w:r w:rsidRPr="002F64AB">
        <w:t>n</w:t>
      </w:r>
      <w:r w:rsidRPr="002F64AB">
        <w:t>dercut the validity of the argument</w:t>
      </w:r>
      <w:r>
        <w:t>. W</w:t>
      </w:r>
      <w:r w:rsidRPr="002F64AB">
        <w:t>e can doubt the infer</w:t>
      </w:r>
      <w:r>
        <w:t xml:space="preserve">ence among claims or </w:t>
      </w:r>
      <w:r w:rsidRPr="002F64AB">
        <w:t>between a claim and its supporting evidence.</w:t>
      </w:r>
      <w:r>
        <w:t xml:space="preserve"> Referred to as undercutters in the literature.</w:t>
      </w:r>
    </w:p>
    <w:p w14:paraId="3F6DACF2" w14:textId="77777777" w:rsidR="00FC78B9" w:rsidRDefault="00FC78B9" w:rsidP="00FC78B9">
      <w:pPr>
        <w:pStyle w:val="ListNumbered1"/>
      </w:pPr>
      <w:r w:rsidRPr="00231BC6">
        <w:rPr>
          <w:b/>
        </w:rPr>
        <w:t>Doubt the evidence:</w:t>
      </w:r>
      <w:r w:rsidRPr="002F64AB">
        <w:t xml:space="preserve"> There are conditions that invalidate one or more of the premises. The argument is valid, but insufficient evidence weakens or undermines our confi</w:t>
      </w:r>
      <w:r>
        <w:t>dence in the claim.</w:t>
      </w:r>
      <w:r w:rsidRPr="002F64AB">
        <w:t xml:space="preserve"> </w:t>
      </w:r>
      <w:r>
        <w:t>Referred to as underminers in the literature.</w:t>
      </w:r>
    </w:p>
    <w:p w14:paraId="61082008" w14:textId="24B1FE11" w:rsidR="00FC78B9" w:rsidRDefault="00FC78B9" w:rsidP="00FC78B9">
      <w:pPr>
        <w:pStyle w:val="Body"/>
      </w:pPr>
      <w:r>
        <w:t xml:space="preserve">Removing doubts just inverts what might be thought of as a constructive assurance case. Consider the assurance case shown in </w:t>
      </w:r>
      <w:r w:rsidR="00EF1CF9">
        <w:fldChar w:fldCharType="begin"/>
      </w:r>
      <w:r w:rsidR="00EF1CF9">
        <w:instrText xml:space="preserve"> REF _Ref388443452 \h </w:instrText>
      </w:r>
      <w:r w:rsidR="00EF1CF9">
        <w:fldChar w:fldCharType="separate"/>
      </w:r>
      <w:r w:rsidR="00EF1CF9">
        <w:t xml:space="preserve">Figure </w:t>
      </w:r>
      <w:r w:rsidR="00EF1CF9">
        <w:rPr>
          <w:noProof/>
        </w:rPr>
        <w:t>6</w:t>
      </w:r>
      <w:r w:rsidR="00EF1CF9">
        <w:fldChar w:fldCharType="end"/>
      </w:r>
      <w:r w:rsidR="00EF1CF9">
        <w:t xml:space="preserve"> </w:t>
      </w:r>
      <w:r>
        <w:t>for the claim that flipping a switch will turn the light on</w:t>
      </w:r>
      <w:r>
        <w:rPr>
          <w:rStyle w:val="FootnoteReference"/>
        </w:rPr>
        <w:footnoteReference w:id="7"/>
      </w:r>
      <w:r>
        <w:t>. An altern</w:t>
      </w:r>
      <w:r>
        <w:t>a</w:t>
      </w:r>
      <w:r>
        <w:t>tive assurance argument if those failures are eliminated then the light will turn on.</w:t>
      </w:r>
    </w:p>
    <w:p w14:paraId="0FC1BCA2" w14:textId="77777777" w:rsidR="00FC78B9" w:rsidRPr="002F64AB" w:rsidRDefault="00FC78B9" w:rsidP="00FC78B9">
      <w:pPr>
        <w:pStyle w:val="Body"/>
      </w:pPr>
    </w:p>
    <w:p w14:paraId="166E51A5" w14:textId="77777777" w:rsidR="00FC78B9" w:rsidRDefault="00FC78B9" w:rsidP="00FC78B9">
      <w:pPr>
        <w:pStyle w:val="Body"/>
      </w:pPr>
    </w:p>
    <w:p w14:paraId="213EE2A9" w14:textId="77777777" w:rsidR="00FC78B9" w:rsidRDefault="00FC78B9" w:rsidP="00FC78B9">
      <w:pPr>
        <w:pStyle w:val="Body"/>
      </w:pPr>
      <w:r>
        <w:rPr>
          <w:noProof/>
        </w:rPr>
        <w:drawing>
          <wp:inline distT="0" distB="0" distL="0" distR="0" wp14:anchorId="64885C48" wp14:editId="5E49305D">
            <wp:extent cx="3082636" cy="2094173"/>
            <wp:effectExtent l="0" t="0" r="3810" b="1905"/>
            <wp:docPr id="13" name="Picture 13" descr="C:\Users\ellison\Documents\Working\To Do\CyberAssurance\ONI\LBassur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ison\Documents\Working\To Do\CyberAssurance\ONI\LBassurance.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2637" cy="2094174"/>
                    </a:xfrm>
                    <a:prstGeom prst="rect">
                      <a:avLst/>
                    </a:prstGeom>
                    <a:noFill/>
                    <a:ln>
                      <a:noFill/>
                    </a:ln>
                  </pic:spPr>
                </pic:pic>
              </a:graphicData>
            </a:graphic>
          </wp:inline>
        </w:drawing>
      </w:r>
    </w:p>
    <w:p w14:paraId="048A3E52" w14:textId="77777777" w:rsidR="00FC78B9" w:rsidRDefault="00FC78B9" w:rsidP="00FC78B9">
      <w:pPr>
        <w:pStyle w:val="Caption"/>
      </w:pPr>
      <w:bookmarkStart w:id="50" w:name="_Toc387057730"/>
      <w:bookmarkStart w:id="51" w:name="_Ref388443452"/>
      <w:r>
        <w:t xml:space="preserve">Figure </w:t>
      </w:r>
      <w:fldSimple w:instr=" SEQ Figure \* ARABIC ">
        <w:r w:rsidR="00EF1CF9">
          <w:rPr>
            <w:noProof/>
          </w:rPr>
          <w:t>6</w:t>
        </w:r>
      </w:fldSimple>
      <w:bookmarkEnd w:id="51"/>
      <w:r>
        <w:t>: Light Bulb Example</w:t>
      </w:r>
      <w:bookmarkEnd w:id="50"/>
    </w:p>
    <w:p w14:paraId="468589DC" w14:textId="71C0A17A" w:rsidR="00FC78B9" w:rsidRDefault="00FC78B9" w:rsidP="00FC78B9">
      <w:pPr>
        <w:pStyle w:val="Body"/>
      </w:pPr>
      <w:r>
        <w:lastRenderedPageBreak/>
        <w:t>The claim is invalid if there is no power, if the switch is not connected, or if the bulb is defective. Those conditions rebut the claim as shown</w:t>
      </w:r>
      <w:r w:rsidR="00EF1CF9">
        <w:t xml:space="preserve"> </w:t>
      </w:r>
      <w:r w:rsidR="00EF1CF9">
        <w:fldChar w:fldCharType="begin"/>
      </w:r>
      <w:r w:rsidR="00EF1CF9">
        <w:instrText xml:space="preserve"> REF _Ref388443484 \h </w:instrText>
      </w:r>
      <w:r w:rsidR="00EF1CF9">
        <w:fldChar w:fldCharType="separate"/>
      </w:r>
      <w:r w:rsidR="00EF1CF9">
        <w:t xml:space="preserve">Figure </w:t>
      </w:r>
      <w:r w:rsidR="00EF1CF9">
        <w:rPr>
          <w:noProof/>
        </w:rPr>
        <w:t>7</w:t>
      </w:r>
      <w:r w:rsidR="00EF1CF9">
        <w:fldChar w:fldCharType="end"/>
      </w:r>
      <w:r>
        <w:t>. The assurance argument now is if those fai</w:t>
      </w:r>
      <w:r>
        <w:t>l</w:t>
      </w:r>
      <w:r>
        <w:t>ures are eliminated then the light will turn on. The confidence of the assurance now depends on our conf</w:t>
      </w:r>
      <w:r>
        <w:t>i</w:t>
      </w:r>
      <w:r>
        <w:t>dence in the statement that there are no other reasons for a failure.</w:t>
      </w:r>
    </w:p>
    <w:p w14:paraId="0C068DFF" w14:textId="77777777" w:rsidR="00FC78B9" w:rsidRDefault="00FC78B9" w:rsidP="00FC78B9">
      <w:pPr>
        <w:pStyle w:val="Body"/>
        <w:keepNext/>
      </w:pPr>
      <w:r>
        <w:rPr>
          <w:noProof/>
        </w:rPr>
        <w:drawing>
          <wp:inline distT="0" distB="0" distL="0" distR="0" wp14:anchorId="38D14371" wp14:editId="4F150FDB">
            <wp:extent cx="3179618" cy="1955987"/>
            <wp:effectExtent l="0" t="0" r="1905" b="6350"/>
            <wp:docPr id="16" name="Picture 16" descr="C:\Users\ellison\Documents\Working\To Do\CyberAssurance\ONI\LBsi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llison\Documents\Working\To Do\CyberAssurance\ONI\LBsimple.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179901" cy="1956161"/>
                    </a:xfrm>
                    <a:prstGeom prst="rect">
                      <a:avLst/>
                    </a:prstGeom>
                    <a:noFill/>
                    <a:ln>
                      <a:noFill/>
                    </a:ln>
                  </pic:spPr>
                </pic:pic>
              </a:graphicData>
            </a:graphic>
          </wp:inline>
        </w:drawing>
      </w:r>
    </w:p>
    <w:p w14:paraId="728237A4" w14:textId="77777777" w:rsidR="00FC78B9" w:rsidRDefault="00FC78B9" w:rsidP="00FC78B9">
      <w:pPr>
        <w:pStyle w:val="Caption"/>
      </w:pPr>
      <w:bookmarkStart w:id="52" w:name="_Toc387057731"/>
      <w:bookmarkStart w:id="53" w:name="_Ref388443484"/>
      <w:r>
        <w:t xml:space="preserve">Figure </w:t>
      </w:r>
      <w:fldSimple w:instr=" SEQ Figure \* ARABIC ">
        <w:r w:rsidR="00EF1CF9">
          <w:rPr>
            <w:noProof/>
          </w:rPr>
          <w:t>7</w:t>
        </w:r>
      </w:fldSimple>
      <w:bookmarkEnd w:id="53"/>
      <w:r>
        <w:t>: Light Bulb Rebutters</w:t>
      </w:r>
      <w:bookmarkEnd w:id="52"/>
    </w:p>
    <w:p w14:paraId="089D7DC7" w14:textId="2571EC48" w:rsidR="00FC78B9" w:rsidRDefault="00FC78B9" w:rsidP="00FC78B9">
      <w:pPr>
        <w:pStyle w:val="Body"/>
      </w:pPr>
      <w:r>
        <w:t>Doubts can also be raised on the evidence that a light bulb is functional as shown in</w:t>
      </w:r>
      <w:r w:rsidR="00EF1CF9">
        <w:t xml:space="preserve"> </w:t>
      </w:r>
      <w:r w:rsidR="00EF1CF9">
        <w:fldChar w:fldCharType="begin"/>
      </w:r>
      <w:r w:rsidR="00EF1CF9">
        <w:instrText xml:space="preserve"> REF _Ref388443505 \h </w:instrText>
      </w:r>
      <w:r w:rsidR="00EF1CF9">
        <w:fldChar w:fldCharType="separate"/>
      </w:r>
      <w:r w:rsidR="00EF1CF9">
        <w:t xml:space="preserve">Figure </w:t>
      </w:r>
      <w:r w:rsidR="00EF1CF9">
        <w:rPr>
          <w:noProof/>
        </w:rPr>
        <w:t>8</w:t>
      </w:r>
      <w:r w:rsidR="00EF1CF9">
        <w:fldChar w:fldCharType="end"/>
      </w:r>
      <w:r>
        <w:t>. The evidence given for a functional light bulb is that that it does not rattle when shaken, i.e., the fil</w:t>
      </w:r>
      <w:r>
        <w:t>a</w:t>
      </w:r>
      <w:r>
        <w:t>ment is i</w:t>
      </w:r>
      <w:r>
        <w:t>n</w:t>
      </w:r>
      <w:r>
        <w:t xml:space="preserve">tact. The validity of that evidence can be undermined by an examiner who is hard of hearing or has headphones on. The validity of the evidence argument is undercut by an LED bulb as such does not rattle when defective. </w:t>
      </w:r>
    </w:p>
    <w:p w14:paraId="1CEEDDB0" w14:textId="77777777" w:rsidR="00FC78B9" w:rsidRDefault="00FC78B9" w:rsidP="00FC78B9">
      <w:pPr>
        <w:pStyle w:val="Body"/>
        <w:keepNext/>
      </w:pPr>
      <w:r>
        <w:rPr>
          <w:noProof/>
        </w:rPr>
        <w:drawing>
          <wp:inline distT="0" distB="0" distL="0" distR="0" wp14:anchorId="760E1B2C" wp14:editId="1635664A">
            <wp:extent cx="3474720" cy="1965822"/>
            <wp:effectExtent l="0" t="0" r="0" b="0"/>
            <wp:docPr id="17" name="Picture 17" descr="C:\Users\ellison\Documents\Working\To Do\CyberAssurance\ONI\L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ison\Documents\Working\To Do\CyberAssurance\ONI\LB7.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474720" cy="1965822"/>
                    </a:xfrm>
                    <a:prstGeom prst="rect">
                      <a:avLst/>
                    </a:prstGeom>
                    <a:noFill/>
                    <a:ln>
                      <a:noFill/>
                    </a:ln>
                  </pic:spPr>
                </pic:pic>
              </a:graphicData>
            </a:graphic>
          </wp:inline>
        </w:drawing>
      </w:r>
    </w:p>
    <w:p w14:paraId="12BB6ABA" w14:textId="77777777" w:rsidR="00FC78B9" w:rsidRDefault="00FC78B9" w:rsidP="00FC78B9">
      <w:pPr>
        <w:pStyle w:val="Caption"/>
      </w:pPr>
      <w:bookmarkStart w:id="54" w:name="_Toc387057732"/>
      <w:bookmarkStart w:id="55" w:name="_Ref388443505"/>
      <w:r>
        <w:t xml:space="preserve">Figure </w:t>
      </w:r>
      <w:fldSimple w:instr=" SEQ Figure \* ARABIC ">
        <w:r w:rsidR="00EF1CF9">
          <w:rPr>
            <w:noProof/>
          </w:rPr>
          <w:t>8</w:t>
        </w:r>
      </w:fldSimple>
      <w:bookmarkEnd w:id="55"/>
      <w:r>
        <w:t>: Expanded Confidence Map</w:t>
      </w:r>
      <w:bookmarkEnd w:id="54"/>
    </w:p>
    <w:p w14:paraId="3AA8169B" w14:textId="77777777" w:rsidR="0019413F" w:rsidRDefault="0019413F" w:rsidP="0019413F">
      <w:pPr>
        <w:pStyle w:val="Heading2"/>
      </w:pPr>
      <w:bookmarkStart w:id="56" w:name="_Toc380442684"/>
      <w:bookmarkStart w:id="57" w:name="_Toc382399366"/>
      <w:bookmarkStart w:id="58" w:name="_Toc383705566"/>
      <w:bookmarkStart w:id="59" w:name="_Toc388442960"/>
      <w:r>
        <w:t>Infusion Pump Assurance Case</w:t>
      </w:r>
      <w:bookmarkEnd w:id="56"/>
      <w:bookmarkEnd w:id="57"/>
      <w:bookmarkEnd w:id="58"/>
      <w:bookmarkEnd w:id="59"/>
    </w:p>
    <w:p w14:paraId="5D781AD6" w14:textId="22A631C1" w:rsidR="0019413F" w:rsidRDefault="0019413F" w:rsidP="0019413F">
      <w:pPr>
        <w:pStyle w:val="Body"/>
      </w:pPr>
      <w:r>
        <w:t xml:space="preserve">A sketch of an infusion pump assurance case is shown in </w:t>
      </w:r>
      <w:r>
        <w:fldChar w:fldCharType="begin"/>
      </w:r>
      <w:r>
        <w:instrText xml:space="preserve"> REF _Ref376950012 \h </w:instrText>
      </w:r>
      <w:r>
        <w:fldChar w:fldCharType="separate"/>
      </w:r>
      <w:r w:rsidR="00EF1CF9">
        <w:t xml:space="preserve">Figure </w:t>
      </w:r>
      <w:r w:rsidR="00EF1CF9">
        <w:rPr>
          <w:noProof/>
        </w:rPr>
        <w:t>9</w:t>
      </w:r>
      <w:r>
        <w:fldChar w:fldCharType="end"/>
      </w:r>
      <w:r>
        <w:t>. The strategy box says that safety of the pump will be shown by demonstrating that each of the nine health risks has been mi</w:t>
      </w:r>
      <w:r>
        <w:t>t</w:t>
      </w:r>
      <w:r>
        <w:t>igated, i.e., divide the initial cla</w:t>
      </w:r>
      <w:r w:rsidR="00F01842">
        <w:t>im into—it is hoped—simpler subclaims. The overdose subclaim is then divided into sub</w:t>
      </w:r>
      <w:r>
        <w:t xml:space="preserve">claims based on the hazards that could result in an overdose. For example, an overdose could be caused by environmental hazards such as a high temperature which led to a </w:t>
      </w:r>
      <w:r>
        <w:lastRenderedPageBreak/>
        <w:t>pump malfunction. It would also result from a patient tampering with unit or from cell phone i</w:t>
      </w:r>
      <w:r>
        <w:t>n</w:t>
      </w:r>
      <w:r>
        <w:t xml:space="preserve">terference. </w:t>
      </w:r>
    </w:p>
    <w:p w14:paraId="63AA7E79" w14:textId="77777777" w:rsidR="0019413F" w:rsidRDefault="0019413F" w:rsidP="0019413F">
      <w:pPr>
        <w:pStyle w:val="Body"/>
        <w:keepNext/>
      </w:pPr>
      <w:r>
        <w:rPr>
          <w:noProof/>
        </w:rPr>
        <w:drawing>
          <wp:inline distT="0" distB="0" distL="0" distR="0" wp14:anchorId="40DDBDA5" wp14:editId="15C14B2B">
            <wp:extent cx="4297680" cy="2594275"/>
            <wp:effectExtent l="0" t="0" r="7620" b="0"/>
            <wp:docPr id="14" name="Picture 14" descr="C:\Users\ellison\Documents\Working\To Do\CyberAssurance\ONI\Hazards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llison\Documents\Working\To Do\CyberAssurance\ONI\Hazards4.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297680" cy="2594275"/>
                    </a:xfrm>
                    <a:prstGeom prst="rect">
                      <a:avLst/>
                    </a:prstGeom>
                    <a:noFill/>
                    <a:ln>
                      <a:noFill/>
                    </a:ln>
                  </pic:spPr>
                </pic:pic>
              </a:graphicData>
            </a:graphic>
          </wp:inline>
        </w:drawing>
      </w:r>
    </w:p>
    <w:p w14:paraId="1EC2D607" w14:textId="77777777" w:rsidR="0019413F" w:rsidRDefault="0019413F" w:rsidP="0019413F">
      <w:pPr>
        <w:pStyle w:val="Caption"/>
      </w:pPr>
      <w:bookmarkStart w:id="60" w:name="_Ref376950012"/>
      <w:bookmarkStart w:id="61" w:name="_Toc380675454"/>
      <w:bookmarkStart w:id="62" w:name="_Toc382399390"/>
      <w:bookmarkStart w:id="63" w:name="_Toc383673106"/>
      <w:r>
        <w:t xml:space="preserve">Figure </w:t>
      </w:r>
      <w:fldSimple w:instr=" SEQ Figure \* ARABIC ">
        <w:r w:rsidR="00EF1CF9">
          <w:rPr>
            <w:noProof/>
          </w:rPr>
          <w:t>9</w:t>
        </w:r>
      </w:fldSimple>
      <w:bookmarkEnd w:id="60"/>
      <w:r>
        <w:t>: Using GSN for Infusion Pump Assurance Case</w:t>
      </w:r>
      <w:bookmarkEnd w:id="61"/>
      <w:bookmarkEnd w:id="62"/>
      <w:bookmarkEnd w:id="63"/>
    </w:p>
    <w:p w14:paraId="33999DDD" w14:textId="77777777" w:rsidR="0019413F" w:rsidRDefault="0019413F" w:rsidP="0019413F">
      <w:pPr>
        <w:pStyle w:val="Body"/>
      </w:pPr>
      <w:r>
        <w:t>A manufacturer needs to show that the sensors have been engineered to monitor the state of phy</w:t>
      </w:r>
      <w:r>
        <w:t>s</w:t>
      </w:r>
      <w:r>
        <w:t>ical configuration and the flow of the medicine and that the software has been designed to reco</w:t>
      </w:r>
      <w:r>
        <w:t>g</w:t>
      </w:r>
      <w:r>
        <w:t xml:space="preserve">nize hazards based on the aggregate of sensor values and take the action as defined by the safety requirements. </w:t>
      </w:r>
    </w:p>
    <w:p w14:paraId="274A0087" w14:textId="77777777" w:rsidR="0019413F" w:rsidRDefault="0019413F" w:rsidP="0019413F">
      <w:pPr>
        <w:pStyle w:val="Body"/>
      </w:pPr>
      <w:r>
        <w:t>For example, if an overdose has a high health risk, then an alarm should sound. An overdose can be the result of a free flow of the medication because the valves in the delivery paths are broken or the delivery path is damaged, creating a vent in a line. The high health risk requires that an i</w:t>
      </w:r>
      <w:r>
        <w:t>n</w:t>
      </w:r>
      <w:r>
        <w:t xml:space="preserve">fusion pump be designed to be very sensitive to hazards that could cause an overdose, i.e., the percentage of such hazardous condition that are not recognized has to be low (see </w:t>
      </w:r>
      <w:r>
        <w:fldChar w:fldCharType="begin"/>
      </w:r>
      <w:r>
        <w:instrText xml:space="preserve"> REF _Ref382393301 \h </w:instrText>
      </w:r>
      <w:r>
        <w:fldChar w:fldCharType="separate"/>
      </w:r>
      <w:r w:rsidR="00EF1CF9">
        <w:t xml:space="preserve">Table </w:t>
      </w:r>
      <w:r w:rsidR="00EF1CF9">
        <w:rPr>
          <w:noProof/>
        </w:rPr>
        <w:t>2</w:t>
      </w:r>
      <w:r>
        <w:fldChar w:fldCharType="end"/>
      </w:r>
      <w:r>
        <w:t>).</w:t>
      </w:r>
    </w:p>
    <w:p w14:paraId="5D02FB54" w14:textId="77777777" w:rsidR="0019413F" w:rsidRDefault="0019413F" w:rsidP="0019413F">
      <w:pPr>
        <w:pStyle w:val="Body"/>
      </w:pPr>
      <w:r>
        <w:t xml:space="preserve">There are other cases where the recognition has to be what is called specific, i.e., there is a high probability that the condition recognized by the pump actually exists. A warning light that comes on too often when there are no problems will soon be ignored. </w:t>
      </w:r>
    </w:p>
    <w:p w14:paraId="5670BFDF" w14:textId="77777777" w:rsidR="0019413F" w:rsidRDefault="0019413F" w:rsidP="0019413F">
      <w:pPr>
        <w:pStyle w:val="Body"/>
      </w:pPr>
      <w:r>
        <w:t>It should not be</w:t>
      </w:r>
      <w:r w:rsidRPr="0036349D">
        <w:t xml:space="preserve"> surprising that testing </w:t>
      </w:r>
      <w:r>
        <w:t xml:space="preserve">alone </w:t>
      </w:r>
      <w:r w:rsidRPr="0036349D">
        <w:t xml:space="preserve">had not provided sufficient evidence </w:t>
      </w:r>
      <w:r>
        <w:t xml:space="preserve">to demonstrate acceptably safe </w:t>
      </w:r>
      <w:r w:rsidRPr="0036349D">
        <w:t>infusion pump behavior</w:t>
      </w:r>
      <w:r>
        <w:t>. The justification had to consider any safety issues raised by how the infusion pump software responded to the interactions of the data from multiple se</w:t>
      </w:r>
      <w:r>
        <w:t>n</w:t>
      </w:r>
      <w:r>
        <w:t>sors. The sensitivity and specificity of a pump’s hazard tests had to be consistent with the assoc</w:t>
      </w:r>
      <w:r>
        <w:t>i</w:t>
      </w:r>
      <w:r>
        <w:t xml:space="preserve">ated health risks, but such analysis requires the data shown in </w:t>
      </w:r>
      <w:r>
        <w:fldChar w:fldCharType="begin"/>
      </w:r>
      <w:r>
        <w:instrText xml:space="preserve"> REF _Ref382393301 \h </w:instrText>
      </w:r>
      <w:r>
        <w:fldChar w:fldCharType="separate"/>
      </w:r>
      <w:r w:rsidR="00EF1CF9">
        <w:t xml:space="preserve">Table </w:t>
      </w:r>
      <w:r w:rsidR="00EF1CF9">
        <w:rPr>
          <w:noProof/>
        </w:rPr>
        <w:t>2</w:t>
      </w:r>
      <w:r>
        <w:fldChar w:fldCharType="end"/>
      </w:r>
      <w:r>
        <w:t xml:space="preserve"> for each hazard considered. That analysis depends on applying techniques such as </w:t>
      </w:r>
      <w:r w:rsidRPr="001B0479">
        <w:t>simulations, static analysis, and state m</w:t>
      </w:r>
      <w:r w:rsidRPr="001B0479">
        <w:t>a</w:t>
      </w:r>
      <w:r>
        <w:t xml:space="preserve">chine modeling. The lack of that kind of engineering analysis during a design is consistent with the number of engineering and manufacturing defects identified by the FDA. </w:t>
      </w:r>
    </w:p>
    <w:p w14:paraId="3E7DBF9A" w14:textId="77777777" w:rsidR="0019413F" w:rsidRDefault="0019413F" w:rsidP="0019413F">
      <w:pPr>
        <w:pStyle w:val="Caption"/>
        <w:keepNext/>
      </w:pPr>
      <w:bookmarkStart w:id="64" w:name="_Ref382393301"/>
      <w:bookmarkStart w:id="65" w:name="_Toc382399404"/>
      <w:bookmarkStart w:id="66" w:name="_Toc383673133"/>
      <w:r>
        <w:lastRenderedPageBreak/>
        <w:t xml:space="preserve">Table </w:t>
      </w:r>
      <w:fldSimple w:instr=" SEQ Table \* ARABIC ">
        <w:r w:rsidR="00EF1CF9">
          <w:rPr>
            <w:noProof/>
          </w:rPr>
          <w:t>2</w:t>
        </w:r>
      </w:fldSimple>
      <w:bookmarkEnd w:id="64"/>
      <w:r>
        <w:t xml:space="preserve">: </w:t>
      </w:r>
      <w:bookmarkEnd w:id="65"/>
      <w:r>
        <w:t>Evaluating Pump Hazard Recognition</w:t>
      </w:r>
      <w:bookmarkEnd w:id="66"/>
    </w:p>
    <w:p w14:paraId="792C5EDE" w14:textId="77777777" w:rsidR="0019413F" w:rsidRDefault="0019413F" w:rsidP="0019413F">
      <w:pPr>
        <w:pStyle w:val="Body"/>
        <w:keepNext/>
      </w:pPr>
      <w:r>
        <w:rPr>
          <w:noProof/>
        </w:rPr>
        <w:drawing>
          <wp:inline distT="0" distB="0" distL="0" distR="0" wp14:anchorId="336D7D80" wp14:editId="0A7458EA">
            <wp:extent cx="2834640" cy="1845167"/>
            <wp:effectExtent l="0" t="0" r="3810" b="3175"/>
            <wp:docPr id="8" name="Picture 8" descr="C:\Users\ellison\Documents\Working\To Do\CyberAssurance\ONI\Negative-Positive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ison\Documents\Working\To Do\CyberAssurance\ONI\Negative-Positives3.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34640" cy="1845167"/>
                    </a:xfrm>
                    <a:prstGeom prst="rect">
                      <a:avLst/>
                    </a:prstGeom>
                    <a:noFill/>
                    <a:ln>
                      <a:noFill/>
                    </a:ln>
                  </pic:spPr>
                </pic:pic>
              </a:graphicData>
            </a:graphic>
          </wp:inline>
        </w:drawing>
      </w:r>
    </w:p>
    <w:p w14:paraId="1F979CF9" w14:textId="77777777" w:rsidR="0019413F" w:rsidRDefault="0019413F" w:rsidP="0019413F">
      <w:pPr>
        <w:pStyle w:val="Body"/>
      </w:pPr>
      <w:r>
        <w:t>Activities in the design phase of a custom developed system should identify possible failure modes and how they might affect operations. The causes of such failure modes can be a combin</w:t>
      </w:r>
      <w:r>
        <w:t>a</w:t>
      </w:r>
      <w:r>
        <w:t xml:space="preserve">tion of those from the operational environment and those associated with software defects. </w:t>
      </w:r>
    </w:p>
    <w:p w14:paraId="166DBC13" w14:textId="77777777" w:rsidR="0019413F" w:rsidRDefault="0019413F" w:rsidP="0019413F">
      <w:pPr>
        <w:pStyle w:val="Body"/>
      </w:pPr>
      <w:r>
        <w:t xml:space="preserve">The design for a software-intensive system is usually an incremental process. A proposed design that mitigates a particular failure mode can introduce new ones. The expense of a high-assurance mitigation may lead to requirement changes or require additional time to evaluate less-expensive alternatives. </w:t>
      </w:r>
    </w:p>
    <w:p w14:paraId="0AD4E08D" w14:textId="77777777" w:rsidR="0019413F" w:rsidRDefault="0019413F" w:rsidP="0019413F">
      <w:pPr>
        <w:pStyle w:val="Body"/>
      </w:pPr>
      <w:r>
        <w:t>The conclusion of a formal design review should be based on more than opinion. An assurance case provides a way to systematically do the analysis. Software intensive systems are complex, and it should not be surprising that the analysis done by even an expert designer could be inco</w:t>
      </w:r>
      <w:r>
        <w:t>m</w:t>
      </w:r>
      <w:r>
        <w:t xml:space="preserve">plete and has overlooked a hazard or made simplifying but invalid development and operating assumptions. The use of eliminative induction as described in Section </w:t>
      </w:r>
      <w:r>
        <w:fldChar w:fldCharType="begin"/>
      </w:r>
      <w:r>
        <w:instrText xml:space="preserve"> REF _Ref381020947 \r \h </w:instrText>
      </w:r>
      <w:r>
        <w:fldChar w:fldCharType="separate"/>
      </w:r>
      <w:r w:rsidR="00EF1CF9">
        <w:t>5.1</w:t>
      </w:r>
      <w:r>
        <w:fldChar w:fldCharType="end"/>
      </w:r>
      <w:r>
        <w:t xml:space="preserve"> provides a systematic way to look for exceptions for the claim, the evidence, or the arguments used to justify the eng</w:t>
      </w:r>
      <w:r>
        <w:t>i</w:t>
      </w:r>
      <w:r>
        <w:t>neering decisions incorporated in a design.</w:t>
      </w:r>
    </w:p>
    <w:p w14:paraId="775FD7DC" w14:textId="0EDFFC02" w:rsidR="00122CF1" w:rsidRDefault="00122CF1" w:rsidP="00122CF1">
      <w:pPr>
        <w:pStyle w:val="Heading1"/>
      </w:pPr>
      <w:bookmarkStart w:id="67" w:name="_Toc388442961"/>
      <w:r>
        <w:lastRenderedPageBreak/>
        <w:t>Module: Writing an Assurance Case</w:t>
      </w:r>
      <w:bookmarkEnd w:id="67"/>
    </w:p>
    <w:p w14:paraId="36464480" w14:textId="3584BAE4" w:rsidR="0038205A" w:rsidRPr="0038205A" w:rsidRDefault="0038205A" w:rsidP="0038205A">
      <w:pPr>
        <w:pStyle w:val="Body"/>
      </w:pPr>
      <w:r>
        <w:t>This material was written for a tutorial on assurance case</w:t>
      </w:r>
      <w:r w:rsidR="0088428E">
        <w:t xml:space="preserve">s and should be covered in a lecture or by a reading assignment before students are asked to </w:t>
      </w:r>
      <w:r>
        <w:t xml:space="preserve">write an assurance case. </w:t>
      </w:r>
    </w:p>
    <w:p w14:paraId="21442D80" w14:textId="6F4DF85B" w:rsidR="00B34029" w:rsidRDefault="00B34029" w:rsidP="00B34029">
      <w:pPr>
        <w:pStyle w:val="Heading1"/>
      </w:pPr>
      <w:bookmarkStart w:id="68" w:name="_Toc388442962"/>
      <w:r>
        <w:lastRenderedPageBreak/>
        <w:t xml:space="preserve">Module: Building Security </w:t>
      </w:r>
      <w:proofErr w:type="gramStart"/>
      <w:r>
        <w:t>In</w:t>
      </w:r>
      <w:proofErr w:type="gramEnd"/>
      <w:r>
        <w:t xml:space="preserve"> Maturity Model (BSIMM)</w:t>
      </w:r>
      <w:bookmarkEnd w:id="68"/>
    </w:p>
    <w:p w14:paraId="0AE27F46" w14:textId="533696CE" w:rsidR="00DF7F86" w:rsidRPr="00DF7F86" w:rsidRDefault="00DF7F86" w:rsidP="00DF7F86">
      <w:pPr>
        <w:pStyle w:val="Body"/>
      </w:pPr>
      <w:r>
        <w:t>The BSIMM website provides extensive documentation.  The primary point is that security d</w:t>
      </w:r>
      <w:r>
        <w:t>e</w:t>
      </w:r>
      <w:r>
        <w:t>pends on more than specific development practices. It is also important to note, that BSIMM su</w:t>
      </w:r>
      <w:r>
        <w:t>r</w:t>
      </w:r>
      <w:r>
        <w:t>veyed very large organizations. We do not know what is realistic and effective for small to med</w:t>
      </w:r>
      <w:r>
        <w:t>i</w:t>
      </w:r>
      <w:r>
        <w:t xml:space="preserve">um size developers. </w:t>
      </w:r>
    </w:p>
    <w:p w14:paraId="0759AAEB" w14:textId="0E69AAE6" w:rsidR="00AA5D39" w:rsidRDefault="00AA5D39" w:rsidP="00AA5D39">
      <w:pPr>
        <w:pStyle w:val="Heading1"/>
      </w:pPr>
      <w:bookmarkStart w:id="69" w:name="_Toc388442963"/>
      <w:r>
        <w:lastRenderedPageBreak/>
        <w:t>Module: Open Group Assurance Case</w:t>
      </w:r>
      <w:bookmarkEnd w:id="69"/>
    </w:p>
    <w:p w14:paraId="73CDD832" w14:textId="13014BE3" w:rsidR="0096139D" w:rsidRDefault="00912360" w:rsidP="0096139D">
      <w:pPr>
        <w:pStyle w:val="Body"/>
      </w:pPr>
      <w:r>
        <w:t>Managing the risks associated with supply chains that provide software and computing comp</w:t>
      </w:r>
      <w:r>
        <w:t>o</w:t>
      </w:r>
      <w:r>
        <w:t>nents is an important role for assurance management. One aspect of supply chain risk manag</w:t>
      </w:r>
      <w:r>
        <w:t>e</w:t>
      </w:r>
      <w:r>
        <w:t xml:space="preserve">ment is a vendor risk assessment. </w:t>
      </w:r>
      <w:r w:rsidR="0096139D">
        <w:t>There are frequent request</w:t>
      </w:r>
      <w:r>
        <w:t>s</w:t>
      </w:r>
      <w:r w:rsidR="0096139D">
        <w:t xml:space="preserve"> for something like an Underwriter’s Lab certification that could be applied to software. The Open Group Trusted-Technology Forum consider</w:t>
      </w:r>
      <w:r>
        <w:t>ed</w:t>
      </w:r>
      <w:r w:rsidR="0096139D">
        <w:t xml:space="preserve"> such a </w:t>
      </w:r>
      <w:r>
        <w:t xml:space="preserve">vendor </w:t>
      </w:r>
      <w:r w:rsidR="0096139D">
        <w:t>certification for su</w:t>
      </w:r>
      <w:r>
        <w:t>pply chain risk management. The Open Group</w:t>
      </w:r>
      <w:r w:rsidR="0096139D">
        <w:t xml:space="preserve"> cert</w:t>
      </w:r>
      <w:r w:rsidR="0096139D">
        <w:t>i</w:t>
      </w:r>
      <w:r w:rsidR="0096139D">
        <w:t xml:space="preserve">fication </w:t>
      </w:r>
      <w:r>
        <w:t xml:space="preserve">process </w:t>
      </w:r>
      <w:r w:rsidR="0096139D">
        <w:t>is an assurance c</w:t>
      </w:r>
      <w:r>
        <w:t>ase with claims and the evidence specified in a way that the a</w:t>
      </w:r>
      <w:r>
        <w:t>s</w:t>
      </w:r>
      <w:r>
        <w:t>sessment can be done by an independent laboratory</w:t>
      </w:r>
      <w:r w:rsidR="00EA45CF">
        <w:t>.</w:t>
      </w:r>
    </w:p>
    <w:p w14:paraId="6FC9279B" w14:textId="03623B4E" w:rsidR="00EA45CF" w:rsidRDefault="00EA45CF" w:rsidP="0096139D">
      <w:pPr>
        <w:pStyle w:val="Body"/>
      </w:pPr>
      <w:r>
        <w:t xml:space="preserve">A good topic for an assurance management discussion is described in the slide “Will anyone use it?” Creating a standard is not an academic exercise. Participating commercial organizations want a technical standard that favors their technology. Equivalent circumstances can arise in standards where the participants are governments – the Internet is a good example. The Open Group has to “market” their standard to governments and to commercial organizations for it to be widely used. </w:t>
      </w:r>
    </w:p>
    <w:p w14:paraId="42961ED5" w14:textId="007B55C3" w:rsidR="0088428E" w:rsidRDefault="00417737" w:rsidP="0096139D">
      <w:pPr>
        <w:pStyle w:val="Body"/>
      </w:pPr>
      <w:r>
        <w:t>The Common Criteria is being revised.  The drafts of the new version are available on the Internet and could be discussed in a lecture.</w:t>
      </w:r>
      <w:r w:rsidR="0088428E">
        <w:t xml:space="preserve"> </w:t>
      </w:r>
      <w:hyperlink r:id="rId44" w:history="1">
        <w:r w:rsidR="0088428E" w:rsidRPr="00E25CA6">
          <w:rPr>
            <w:rStyle w:val="Hyperlink"/>
          </w:rPr>
          <w:t>http://www.commoncriteriaportal.org/</w:t>
        </w:r>
      </w:hyperlink>
    </w:p>
    <w:p w14:paraId="7D0AB7FA" w14:textId="55029E52" w:rsidR="009C3B11" w:rsidRDefault="009C3B11" w:rsidP="009C3B11">
      <w:pPr>
        <w:pStyle w:val="Heading1"/>
      </w:pPr>
      <w:bookmarkStart w:id="70" w:name="_Toc388442964"/>
      <w:r>
        <w:lastRenderedPageBreak/>
        <w:t>Module: Systems and System of Systems</w:t>
      </w:r>
      <w:bookmarkEnd w:id="70"/>
    </w:p>
    <w:p w14:paraId="0A577AEB" w14:textId="533AAEAC" w:rsidR="0019413F" w:rsidRDefault="0019413F" w:rsidP="0019413F">
      <w:pPr>
        <w:pStyle w:val="Body"/>
      </w:pPr>
      <w:r>
        <w:t>This section concludes with a discussion of SEI experience applying assurance case techniques to the early phases of the system develop</w:t>
      </w:r>
      <w:r w:rsidR="00C20CD5">
        <w:t xml:space="preserve">ment lifecycle of a DoD system </w:t>
      </w:r>
      <w:r w:rsidR="00C20CD5" w:rsidRPr="00C20CD5">
        <w:t>[Blanchette 2009]</w:t>
      </w:r>
      <w:r w:rsidR="00C20CD5">
        <w:t xml:space="preserve">. </w:t>
      </w:r>
      <w:r>
        <w:t xml:space="preserve">That experience </w:t>
      </w:r>
      <w:r w:rsidRPr="003B01C1">
        <w:t xml:space="preserve">suggests that the assurance case technique is a powerful tool </w:t>
      </w:r>
      <w:r>
        <w:t xml:space="preserve">for analyzing systems. </w:t>
      </w:r>
      <w:r w:rsidRPr="003B01C1">
        <w:t>Assurance cases give managers answers about design progress that are demonstrably rooted in facts and data instead of opinions based on hope and best inten</w:t>
      </w:r>
      <w:r>
        <w:t>t</w:t>
      </w:r>
      <w:r w:rsidRPr="003B01C1">
        <w:t>ions.</w:t>
      </w:r>
      <w:r>
        <w:t xml:space="preserve"> Techniques such as the </w:t>
      </w:r>
      <w:r w:rsidRPr="00E33B5E">
        <w:t>co</w:t>
      </w:r>
      <w:r w:rsidRPr="00E33B5E">
        <w:t>n</w:t>
      </w:r>
      <w:r w:rsidRPr="00E33B5E">
        <w:t>fidence map</w:t>
      </w:r>
      <w:r>
        <w:t xml:space="preserve"> described in Section </w:t>
      </w:r>
      <w:r w:rsidR="00EF1CF9">
        <w:fldChar w:fldCharType="begin"/>
      </w:r>
      <w:r w:rsidR="00EF1CF9">
        <w:instrText xml:space="preserve"> REF _Ref388443637 \r \h </w:instrText>
      </w:r>
      <w:r w:rsidR="00EF1CF9">
        <w:fldChar w:fldCharType="separate"/>
      </w:r>
      <w:r w:rsidR="00EF1CF9">
        <w:t>5</w:t>
      </w:r>
      <w:r w:rsidR="00EF1CF9">
        <w:fldChar w:fldCharType="end"/>
      </w:r>
      <w:fldSimple w:instr=" REF _Ref382908246 \r \h "/>
      <w:r w:rsidRPr="00E33B5E">
        <w:t xml:space="preserve"> provide a concise and understandable way to show the effects of a specific development shortfall and to track progress between reviews</w:t>
      </w:r>
      <w:r>
        <w:t xml:space="preserve">. </w:t>
      </w:r>
    </w:p>
    <w:p w14:paraId="59132D43" w14:textId="1CA54D1B" w:rsidR="0019413F" w:rsidRDefault="0019413F" w:rsidP="0019413F">
      <w:pPr>
        <w:pStyle w:val="Body"/>
      </w:pPr>
      <w:r>
        <w:t>The SEI has applied assurance case techniques in the early phases of system development life cycle for a large DoD system of systems (SoS) as described in Blanchette [Blanchette 2009]. The general approach is applicable for less complex systems. The SEI</w:t>
      </w:r>
      <w:r w:rsidRPr="00A00752">
        <w:t xml:space="preserve"> team analyzed the software co</w:t>
      </w:r>
      <w:r w:rsidRPr="00A00752">
        <w:t>n</w:t>
      </w:r>
      <w:r w:rsidRPr="00A00752">
        <w:t>tributions to the definitive characterization of operational needs – the SoS key performance p</w:t>
      </w:r>
      <w:r w:rsidRPr="00A00752">
        <w:t>a</w:t>
      </w:r>
      <w:r w:rsidRPr="00A00752">
        <w:t>rameters (KPPs). Within the DoD, KPPs are the system characteristics essential for delivery of an effective military capabil</w:t>
      </w:r>
      <w:r>
        <w:t>ity.</w:t>
      </w:r>
      <w:r w:rsidRPr="00A00752">
        <w:t xml:space="preserve"> All DoD projects have some number of KPPs to satisfy in order to be considered acceptable from an operational perspective. For example, any DoD system that must send or receive information externally is required to fulf</w:t>
      </w:r>
      <w:r>
        <w:t>ill the Net-Ready KPP (NR-KPP). The top claim is that the SoS supports Net-Centr</w:t>
      </w:r>
      <w:r w:rsidR="00F01842">
        <w:t>ic military operations. The sub</w:t>
      </w:r>
      <w:r>
        <w:t>claims of that node are</w:t>
      </w:r>
    </w:p>
    <w:p w14:paraId="4FBC3D67" w14:textId="77777777" w:rsidR="0019413F" w:rsidRDefault="0019413F" w:rsidP="0019413F">
      <w:pPr>
        <w:pStyle w:val="ListBulleted1"/>
      </w:pPr>
      <w:r w:rsidRPr="00907FC1">
        <w:t>The SoS is able to enter and be managed in the network</w:t>
      </w:r>
      <w:r>
        <w:t>.</w:t>
      </w:r>
    </w:p>
    <w:p w14:paraId="038C7F00" w14:textId="77777777" w:rsidR="0019413F" w:rsidRDefault="0019413F" w:rsidP="0019413F">
      <w:pPr>
        <w:pStyle w:val="ListBulleted1"/>
      </w:pPr>
      <w:r w:rsidRPr="00907FC1">
        <w:t>The SoS is able to exchange data in a secure manner to enhance mission effectiveness</w:t>
      </w:r>
      <w:r>
        <w:t>.</w:t>
      </w:r>
    </w:p>
    <w:p w14:paraId="3FF0C9AA" w14:textId="77777777" w:rsidR="0019413F" w:rsidRDefault="0019413F" w:rsidP="0019413F">
      <w:pPr>
        <w:pStyle w:val="ListBulleted1"/>
      </w:pPr>
      <w:r w:rsidRPr="00907FC1">
        <w:t>The SoS continuously provides survivable, interoperable, secure, and operationally effective information exchanges</w:t>
      </w:r>
      <w:r>
        <w:t>.</w:t>
      </w:r>
    </w:p>
    <w:p w14:paraId="13754E1C" w14:textId="77777777" w:rsidR="0019413F" w:rsidRDefault="0019413F" w:rsidP="0019413F">
      <w:pPr>
        <w:pStyle w:val="Body"/>
      </w:pPr>
      <w:r w:rsidRPr="00907FC1">
        <w:t>When performing an assurance case analysis of a completed design, the outcome is rather black-and-white: either design artifacts are complete and sufficient, or they are not. Reviewing an in-progress design requires a more nuanced approach, one that reflects relative risk, since the design artifacts will necessarily be in different stages of completion.</w:t>
      </w:r>
      <w:r>
        <w:t xml:space="preserve"> </w:t>
      </w:r>
      <w:r w:rsidRPr="00907FC1">
        <w:t xml:space="preserve">For this example, </w:t>
      </w:r>
      <w:r>
        <w:t xml:space="preserve">the SEI used </w:t>
      </w:r>
      <w:r w:rsidRPr="00907FC1">
        <w:t>a</w:t>
      </w:r>
      <w:r>
        <w:t xml:space="preserve"> simple and familiar stoplight</w:t>
      </w:r>
      <w:r w:rsidRPr="00907FC1">
        <w:t xml:space="preserve"> approach </w:t>
      </w:r>
      <w:r>
        <w:t xml:space="preserve">to scoring </w:t>
      </w:r>
      <w:r w:rsidRPr="00907FC1">
        <w:t>(so named for the red-yellow-green coloring)</w:t>
      </w:r>
      <w:r>
        <w:t xml:space="preserve">, </w:t>
      </w:r>
      <w:r w:rsidRPr="00907FC1">
        <w:t>where the color red designates a relatively high risk area, the color yellow designates a relatively medium risk area, and the color green indicates a relatively low risk area. The rules for assigning colors are slightly different at the evidence level than they are at the level of the claims, as is shown in</w:t>
      </w:r>
      <w:r>
        <w:t xml:space="preserve"> </w:t>
      </w:r>
      <w:r>
        <w:fldChar w:fldCharType="begin"/>
      </w:r>
      <w:r>
        <w:instrText xml:space="preserve"> REF _Ref381017350 \h </w:instrText>
      </w:r>
      <w:r>
        <w:fldChar w:fldCharType="separate"/>
      </w:r>
      <w:r w:rsidR="00EF1CF9">
        <w:t xml:space="preserve">Figure </w:t>
      </w:r>
      <w:r w:rsidR="00EF1CF9">
        <w:rPr>
          <w:noProof/>
        </w:rPr>
        <w:t>10</w:t>
      </w:r>
      <w:r>
        <w:fldChar w:fldCharType="end"/>
      </w:r>
      <w:r>
        <w:t>.</w:t>
      </w:r>
    </w:p>
    <w:p w14:paraId="1642495D" w14:textId="77777777" w:rsidR="0019413F" w:rsidRDefault="0019413F" w:rsidP="0019413F">
      <w:pPr>
        <w:pStyle w:val="Body"/>
        <w:keepNext/>
      </w:pPr>
      <w:r>
        <w:rPr>
          <w:noProof/>
        </w:rPr>
        <w:lastRenderedPageBreak/>
        <w:drawing>
          <wp:inline distT="0" distB="0" distL="0" distR="0" wp14:anchorId="42708ACA" wp14:editId="72894EEE">
            <wp:extent cx="3108960" cy="1909352"/>
            <wp:effectExtent l="0" t="0" r="0" b="0"/>
            <wp:docPr id="24" name="Picture 24" descr="C:\Users\ellison\Documents\Working\To Do\CyberAssurance\ONI\AssuranceCaseNotation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llison\Documents\Working\To Do\CyberAssurance\ONI\AssuranceCaseNotational.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108960" cy="1909352"/>
                    </a:xfrm>
                    <a:prstGeom prst="rect">
                      <a:avLst/>
                    </a:prstGeom>
                    <a:noFill/>
                    <a:ln>
                      <a:noFill/>
                    </a:ln>
                  </pic:spPr>
                </pic:pic>
              </a:graphicData>
            </a:graphic>
          </wp:inline>
        </w:drawing>
      </w:r>
    </w:p>
    <w:p w14:paraId="08052950" w14:textId="77777777" w:rsidR="0019413F" w:rsidRDefault="0019413F" w:rsidP="0019413F">
      <w:pPr>
        <w:pStyle w:val="Caption"/>
      </w:pPr>
      <w:bookmarkStart w:id="71" w:name="_Ref381017350"/>
      <w:bookmarkStart w:id="72" w:name="_Toc382399399"/>
      <w:bookmarkStart w:id="73" w:name="_Toc383673114"/>
      <w:r>
        <w:t xml:space="preserve">Figure </w:t>
      </w:r>
      <w:fldSimple w:instr=" SEQ Figure \* ARABIC ">
        <w:r w:rsidR="00573851">
          <w:rPr>
            <w:noProof/>
          </w:rPr>
          <w:t>10</w:t>
        </w:r>
      </w:fldSimple>
      <w:bookmarkEnd w:id="71"/>
      <w:r>
        <w:t>: Scoring Legend</w:t>
      </w:r>
      <w:bookmarkEnd w:id="72"/>
      <w:bookmarkEnd w:id="73"/>
    </w:p>
    <w:p w14:paraId="490EA233" w14:textId="6BCCC4C7" w:rsidR="0019413F" w:rsidRDefault="0019413F" w:rsidP="0019413F">
      <w:pPr>
        <w:pStyle w:val="Body"/>
      </w:pPr>
      <w:r>
        <w:t xml:space="preserve">When the </w:t>
      </w:r>
      <w:r w:rsidR="00F01842">
        <w:t>sub</w:t>
      </w:r>
      <w:r>
        <w:t>claims are not all uniformly the same color, an analyst must make a subjective dec</w:t>
      </w:r>
      <w:r>
        <w:t>i</w:t>
      </w:r>
      <w:r>
        <w:t>sion on the risk to assign to a node. For example, an analyst might conclude a medium risk given the following doubts raised about the evidence and arguments.</w:t>
      </w:r>
    </w:p>
    <w:p w14:paraId="51716AF3" w14:textId="77777777" w:rsidR="0019413F" w:rsidRDefault="0019413F" w:rsidP="0019413F">
      <w:pPr>
        <w:pStyle w:val="ListNumbered1"/>
        <w:numPr>
          <w:ilvl w:val="0"/>
          <w:numId w:val="8"/>
        </w:numPr>
      </w:pPr>
      <w:r>
        <w:t>Only a subset of information exchanges has been implemented to date.</w:t>
      </w:r>
    </w:p>
    <w:p w14:paraId="0720BFC0" w14:textId="77777777" w:rsidR="0019413F" w:rsidRDefault="0019413F" w:rsidP="0019413F">
      <w:pPr>
        <w:pStyle w:val="ListNumbered1"/>
      </w:pPr>
      <w:r>
        <w:t xml:space="preserve">The noted risks are, at best, medium at this time. </w:t>
      </w:r>
    </w:p>
    <w:p w14:paraId="0E68E991" w14:textId="77777777" w:rsidR="0019413F" w:rsidRDefault="0019413F" w:rsidP="0019413F">
      <w:pPr>
        <w:pStyle w:val="ListNumbered1"/>
      </w:pPr>
      <w:r>
        <w:t>The security architecture has not been completely propagated across the SoS.</w:t>
      </w:r>
    </w:p>
    <w:p w14:paraId="69D517B8" w14:textId="77777777" w:rsidR="0019413F" w:rsidRDefault="0019413F" w:rsidP="0019413F">
      <w:pPr>
        <w:pStyle w:val="ListNumbered1"/>
      </w:pPr>
      <w:r>
        <w:t>An evaluation of the security architecture revealed some design choices that will prevent system accreditation.</w:t>
      </w:r>
    </w:p>
    <w:p w14:paraId="2EFBE8F4" w14:textId="77777777" w:rsidR="0019413F" w:rsidRDefault="0019413F" w:rsidP="0019413F">
      <w:pPr>
        <w:pStyle w:val="ListNumbered1"/>
      </w:pPr>
      <w:r>
        <w:t>Preliminary field tests indicate some information exchanges are exceeding prescribed tim</w:t>
      </w:r>
      <w:r>
        <w:t>e</w:t>
      </w:r>
      <w:r>
        <w:t>lines for completion.</w:t>
      </w:r>
    </w:p>
    <w:p w14:paraId="11249CD4" w14:textId="1E27C391" w:rsidR="0019413F" w:rsidRDefault="0019413F" w:rsidP="0019413F">
      <w:pPr>
        <w:pStyle w:val="Body"/>
      </w:pPr>
      <w:r>
        <w:t xml:space="preserve">The overall analysis tree might appear as shown in </w:t>
      </w:r>
      <w:r>
        <w:fldChar w:fldCharType="begin"/>
      </w:r>
      <w:r>
        <w:instrText xml:space="preserve"> REF _Ref381018675 \h </w:instrText>
      </w:r>
      <w:r>
        <w:fldChar w:fldCharType="separate"/>
      </w:r>
      <w:r w:rsidR="00573851">
        <w:t xml:space="preserve">Figure </w:t>
      </w:r>
      <w:r w:rsidR="00573851">
        <w:rPr>
          <w:noProof/>
        </w:rPr>
        <w:t>11</w:t>
      </w:r>
      <w:r>
        <w:fldChar w:fldCharType="end"/>
      </w:r>
      <w:r>
        <w:t xml:space="preserve"> in a confidence map. The color a</w:t>
      </w:r>
      <w:r>
        <w:t>s</w:t>
      </w:r>
      <w:r>
        <w:t>signed represents an analyst’s judgment on the seriousness of the doubts identified for a specific claim. It can provide both program and developer managers a sort of roadmap for prior</w:t>
      </w:r>
      <w:r>
        <w:t>i</w:t>
      </w:r>
      <w:r>
        <w:t>tizing and addressing the issues.</w:t>
      </w:r>
    </w:p>
    <w:p w14:paraId="44A12FBB" w14:textId="77777777" w:rsidR="0019413F" w:rsidRDefault="0019413F" w:rsidP="0019413F">
      <w:pPr>
        <w:pStyle w:val="Body"/>
        <w:ind w:left="216"/>
      </w:pPr>
      <w:r>
        <w:rPr>
          <w:noProof/>
        </w:rPr>
        <w:lastRenderedPageBreak/>
        <w:drawing>
          <wp:inline distT="0" distB="0" distL="0" distR="0" wp14:anchorId="18A601B7" wp14:editId="339C89B2">
            <wp:extent cx="5149812" cy="3291840"/>
            <wp:effectExtent l="0" t="0" r="0" b="3810"/>
            <wp:docPr id="12" name="Picture 12" descr="C:\Users\ellison\Desktop\KPP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llison\Desktop\KPP_1.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150190" cy="3292081"/>
                    </a:xfrm>
                    <a:prstGeom prst="rect">
                      <a:avLst/>
                    </a:prstGeom>
                    <a:noFill/>
                    <a:ln>
                      <a:noFill/>
                    </a:ln>
                  </pic:spPr>
                </pic:pic>
              </a:graphicData>
            </a:graphic>
          </wp:inline>
        </w:drawing>
      </w:r>
    </w:p>
    <w:p w14:paraId="76B0F40B" w14:textId="77777777" w:rsidR="0019413F" w:rsidRDefault="0019413F" w:rsidP="0019413F">
      <w:pPr>
        <w:pStyle w:val="Caption"/>
      </w:pPr>
      <w:bookmarkStart w:id="74" w:name="_Ref381018675"/>
      <w:bookmarkStart w:id="75" w:name="_Toc382399400"/>
      <w:bookmarkStart w:id="76" w:name="_Toc383673115"/>
      <w:r>
        <w:t xml:space="preserve">Figure </w:t>
      </w:r>
      <w:fldSimple w:instr=" SEQ Figure \* ARABIC ">
        <w:r w:rsidR="00573851">
          <w:rPr>
            <w:noProof/>
          </w:rPr>
          <w:t>11</w:t>
        </w:r>
      </w:fldSimple>
      <w:bookmarkEnd w:id="74"/>
      <w:r>
        <w:t>: KPP Scored Diagram</w:t>
      </w:r>
      <w:bookmarkEnd w:id="75"/>
      <w:bookmarkEnd w:id="76"/>
    </w:p>
    <w:p w14:paraId="7D8F4566" w14:textId="77777777" w:rsidR="0019413F" w:rsidRDefault="0019413F" w:rsidP="0019413F">
      <w:pPr>
        <w:pStyle w:val="Body"/>
      </w:pPr>
      <w:r>
        <w:t>For example, an item may be red because</w:t>
      </w:r>
    </w:p>
    <w:p w14:paraId="7C66608C" w14:textId="77777777" w:rsidR="0019413F" w:rsidRDefault="0019413F" w:rsidP="0019413F">
      <w:pPr>
        <w:pStyle w:val="ListBulleted1"/>
      </w:pPr>
      <w:r>
        <w:t>It is scheduled to be addressed at a later date.</w:t>
      </w:r>
    </w:p>
    <w:p w14:paraId="7E92DCDB" w14:textId="77777777" w:rsidR="0019413F" w:rsidRDefault="0019413F" w:rsidP="0019413F">
      <w:pPr>
        <w:pStyle w:val="ListBulleted1"/>
      </w:pPr>
      <w:r>
        <w:t>The contractor is significantly behind schedule.</w:t>
      </w:r>
    </w:p>
    <w:p w14:paraId="632FC374" w14:textId="77777777" w:rsidR="0019413F" w:rsidRDefault="0019413F" w:rsidP="0019413F">
      <w:pPr>
        <w:pStyle w:val="ListBulleted1"/>
      </w:pPr>
      <w:r>
        <w:t>A redesign is required because of changes in requirements.</w:t>
      </w:r>
    </w:p>
    <w:p w14:paraId="3A6A29C2" w14:textId="77777777" w:rsidR="0019413F" w:rsidRDefault="0019413F" w:rsidP="0019413F">
      <w:pPr>
        <w:pStyle w:val="ListBulleted1"/>
      </w:pPr>
      <w:r>
        <w:t>The problem is harder than anticipated.</w:t>
      </w:r>
    </w:p>
    <w:p w14:paraId="15D0D18B" w14:textId="77777777" w:rsidR="0019413F" w:rsidRDefault="0019413F" w:rsidP="0019413F">
      <w:pPr>
        <w:pStyle w:val="ListBulleted1"/>
      </w:pPr>
      <w:r>
        <w:t>There is a significant risk that the current approach will not meet requirements: The reason can be a poor design or unrealistic requirements.</w:t>
      </w:r>
    </w:p>
    <w:p w14:paraId="070381B7" w14:textId="77777777" w:rsidR="0019413F" w:rsidRDefault="0019413F" w:rsidP="0019413F">
      <w:pPr>
        <w:pStyle w:val="Body"/>
      </w:pPr>
      <w:r>
        <w:t>Such a confidence map provides a concise and understandable way to show the effects of a speci</w:t>
      </w:r>
      <w:r>
        <w:t>f</w:t>
      </w:r>
      <w:r>
        <w:t xml:space="preserve">ic development shortfall and to track progress between reviews. </w:t>
      </w:r>
    </w:p>
    <w:p w14:paraId="2C93F025" w14:textId="77777777" w:rsidR="0019413F" w:rsidRDefault="0019413F" w:rsidP="0019413F">
      <w:pPr>
        <w:pStyle w:val="Body"/>
      </w:pPr>
      <w:r w:rsidRPr="003B01C1">
        <w:t>Experience with actual projects suggests that the assurance case technique is a powerful tool for analyzing a large and complex SoS software design. It provides a means of taking a crosscutting look at a SoS, a perspective often achieved only with great effort even in less complex develo</w:t>
      </w:r>
      <w:r w:rsidRPr="003B01C1">
        <w:t>p</w:t>
      </w:r>
      <w:r w:rsidRPr="003B01C1">
        <w:t>ment projects. Assurance cases give managers answers about design progress that are demonstr</w:t>
      </w:r>
      <w:r w:rsidRPr="003B01C1">
        <w:t>a</w:t>
      </w:r>
      <w:r w:rsidRPr="003B01C1">
        <w:t>bly rooted in facts and data instead of opinions based on hope and best inten</w:t>
      </w:r>
      <w:r>
        <w:t>t</w:t>
      </w:r>
      <w:r w:rsidRPr="003B01C1">
        <w:t>ions.</w:t>
      </w:r>
    </w:p>
    <w:p w14:paraId="377CF628" w14:textId="4FFC3C5D" w:rsidR="00AA5D39" w:rsidRDefault="00AA5D39" w:rsidP="00AA5D39">
      <w:pPr>
        <w:pStyle w:val="Heading1-nonum"/>
      </w:pPr>
      <w:bookmarkStart w:id="77" w:name="_Toc533302246"/>
      <w:bookmarkStart w:id="78" w:name="_Toc475757920"/>
      <w:bookmarkStart w:id="79" w:name="_Toc475757919"/>
      <w:bookmarkStart w:id="80" w:name="_Toc533302245"/>
      <w:bookmarkStart w:id="81" w:name="_Toc388442965"/>
      <w:r>
        <w:lastRenderedPageBreak/>
        <w:t>Project</w:t>
      </w:r>
      <w:bookmarkEnd w:id="81"/>
    </w:p>
    <w:p w14:paraId="3523ADB4" w14:textId="29C99511" w:rsidR="00CE7EBD" w:rsidRDefault="00CE7EBD" w:rsidP="006F0E09">
      <w:pPr>
        <w:pStyle w:val="Body"/>
      </w:pPr>
      <w:r>
        <w:t xml:space="preserve">Writing a business case is a very good topic area for the assurance management course. Projects could individually done or be group efforts. BSIMM can be a source for a wide-range of business cases targeting project management to corporate management. A business case could be written for obtaining an Open Group certification or for why a software development organization </w:t>
      </w:r>
      <w:r w:rsidR="00FD3DE8">
        <w:t>needs to add security capabilities beyond doing static analysis.</w:t>
      </w:r>
    </w:p>
    <w:p w14:paraId="35687FF9" w14:textId="3FCE676A" w:rsidR="00FD3DE8" w:rsidRDefault="00FD3DE8" w:rsidP="006F0E09">
      <w:pPr>
        <w:pStyle w:val="Body"/>
      </w:pPr>
      <w:r>
        <w:t>Business cases could be discussed after the lectures on risk management. Students could consult sources such as the articles on “</w:t>
      </w:r>
      <w:r w:rsidRPr="00FD3DE8">
        <w:t>Making the Business Case for Software Assurance</w:t>
      </w:r>
      <w:r>
        <w:t>” on the DHS Build Security In Web site.</w:t>
      </w:r>
    </w:p>
    <w:p w14:paraId="25339B39" w14:textId="131D7A23" w:rsidR="007547B2" w:rsidRDefault="00EF1CF9" w:rsidP="00FD3DE8">
      <w:pPr>
        <w:pStyle w:val="ListMultilist1"/>
      </w:pPr>
      <w:hyperlink r:id="rId47" w:history="1">
        <w:r w:rsidR="007547B2" w:rsidRPr="00263A6B">
          <w:rPr>
            <w:rStyle w:val="Hyperlink"/>
          </w:rPr>
          <w:t>https://buildsecurityin.us-cert.gov/articles/knowledge/business-case-models</w:t>
        </w:r>
      </w:hyperlink>
    </w:p>
    <w:p w14:paraId="6C6216DC" w14:textId="679B9BBA" w:rsidR="00FD3DE8" w:rsidRDefault="00FD3DE8" w:rsidP="006F0E09">
      <w:pPr>
        <w:pStyle w:val="Body"/>
      </w:pPr>
      <w:r>
        <w:t>An SEI report is also available.</w:t>
      </w:r>
    </w:p>
    <w:p w14:paraId="71BB793E" w14:textId="3B0AFAD5" w:rsidR="007547B2" w:rsidRDefault="00FD3DE8" w:rsidP="00FD3DE8">
      <w:pPr>
        <w:pStyle w:val="ListMultilist1"/>
      </w:pPr>
      <w:r>
        <w:t>“</w:t>
      </w:r>
      <w:r w:rsidR="007547B2" w:rsidRPr="007547B2">
        <w:t>Making the Business Case for Software Assurance</w:t>
      </w:r>
      <w:r>
        <w:t xml:space="preserve">,” </w:t>
      </w:r>
      <w:hyperlink r:id="rId48" w:history="1">
        <w:r w:rsidR="007547B2" w:rsidRPr="00263A6B">
          <w:rPr>
            <w:rStyle w:val="Hyperlink"/>
          </w:rPr>
          <w:t>http://resources.sei.cmu.edu/library/asset-view.cfm?assetid=8831</w:t>
        </w:r>
      </w:hyperlink>
    </w:p>
    <w:p w14:paraId="4347B95B" w14:textId="77FFB7B3" w:rsidR="00DF224A" w:rsidRDefault="00535FB1" w:rsidP="00EF1CF9">
      <w:pPr>
        <w:pStyle w:val="Heading1-nonum"/>
      </w:pPr>
      <w:bookmarkStart w:id="82" w:name="_Toc388442966"/>
      <w:bookmarkEnd w:id="77"/>
      <w:bookmarkEnd w:id="78"/>
      <w:r w:rsidRPr="00D62D52">
        <w:lastRenderedPageBreak/>
        <w:t>R</w:t>
      </w:r>
      <w:r w:rsidR="00DF224A" w:rsidRPr="00D62D52">
        <w:t>eferences</w:t>
      </w:r>
      <w:r w:rsidR="00DF224A">
        <w:t>/Bibliography</w:t>
      </w:r>
      <w:bookmarkEnd w:id="79"/>
      <w:bookmarkEnd w:id="80"/>
      <w:bookmarkEnd w:id="82"/>
    </w:p>
    <w:p w14:paraId="4347B95C" w14:textId="77777777" w:rsidR="00DE3466" w:rsidRPr="0064585F" w:rsidRDefault="00DE3466" w:rsidP="0064585F">
      <w:pPr>
        <w:pStyle w:val="Bib-Entry"/>
        <w:rPr>
          <w:i/>
        </w:rPr>
      </w:pPr>
      <w:r w:rsidRPr="0064585F">
        <w:rPr>
          <w:i/>
        </w:rPr>
        <w:t>URLs are valid as of the publication date of this document.</w:t>
      </w:r>
    </w:p>
    <w:p w14:paraId="52194925" w14:textId="77777777" w:rsidR="00C20CD5" w:rsidRDefault="00C20CD5" w:rsidP="00C20CD5">
      <w:pPr>
        <w:pStyle w:val="Bib-Author"/>
      </w:pPr>
      <w:r>
        <w:t>[Blanchette 2009]</w:t>
      </w:r>
    </w:p>
    <w:p w14:paraId="2F180182" w14:textId="77777777" w:rsidR="00C20CD5" w:rsidRDefault="00C20CD5" w:rsidP="00C20CD5">
      <w:pPr>
        <w:pStyle w:val="Bib-Entry"/>
      </w:pPr>
      <w:r>
        <w:t xml:space="preserve">Blanchette, S. </w:t>
      </w:r>
      <w:r w:rsidRPr="00DC5157">
        <w:rPr>
          <w:i/>
        </w:rPr>
        <w:t>Assurance Cases for Design Analysis of Complex System of Systems Software.</w:t>
      </w:r>
      <w:r>
        <w:t xml:space="preserve"> </w:t>
      </w:r>
      <w:proofErr w:type="gramStart"/>
      <w:r>
        <w:t>American Institute for Aeronautics and Astronautics (AIAA) Infotech@Aerospace Conference.</w:t>
      </w:r>
      <w:proofErr w:type="gramEnd"/>
      <w:r>
        <w:t xml:space="preserve"> Seattle, Washington, U.S.A., April 2009. </w:t>
      </w:r>
    </w:p>
    <w:p w14:paraId="46FEB5BD" w14:textId="77777777" w:rsidR="00C20CD5" w:rsidRDefault="00EF1CF9" w:rsidP="00C20CD5">
      <w:pPr>
        <w:pStyle w:val="Bib-Entry"/>
      </w:pPr>
      <w:hyperlink r:id="rId49" w:history="1">
        <w:r w:rsidR="00C20CD5" w:rsidRPr="00345BD8">
          <w:rPr>
            <w:rStyle w:val="Hyperlink"/>
          </w:rPr>
          <w:t>http://resources.sei.cmu.edu/asset_files/WhitePaper/2009_019_001_29066.pdf</w:t>
        </w:r>
      </w:hyperlink>
    </w:p>
    <w:p w14:paraId="348FBE71" w14:textId="70443FF7" w:rsidR="006F11E1" w:rsidRDefault="006F11E1" w:rsidP="006F11E1">
      <w:pPr>
        <w:pStyle w:val="Bib-Author"/>
      </w:pPr>
      <w:r>
        <w:t>[BSIMM 2013]</w:t>
      </w:r>
    </w:p>
    <w:p w14:paraId="0989D111" w14:textId="77777777" w:rsidR="006F11E1" w:rsidRDefault="006F11E1" w:rsidP="006F11E1">
      <w:pPr>
        <w:pStyle w:val="Bib-Entry"/>
        <w:rPr>
          <w:rStyle w:val="Hyperlink"/>
        </w:rPr>
      </w:pPr>
      <w:r>
        <w:t xml:space="preserve">Building Security </w:t>
      </w:r>
      <w:proofErr w:type="gramStart"/>
      <w:r>
        <w:t>In</w:t>
      </w:r>
      <w:proofErr w:type="gramEnd"/>
      <w:r>
        <w:t xml:space="preserve"> Maturity Model, </w:t>
      </w:r>
      <w:hyperlink r:id="rId50" w:history="1">
        <w:r w:rsidRPr="000C4BDB">
          <w:rPr>
            <w:rStyle w:val="Hyperlink"/>
          </w:rPr>
          <w:t>http://bsimm.org</w:t>
        </w:r>
      </w:hyperlink>
    </w:p>
    <w:p w14:paraId="07262EC1" w14:textId="77777777" w:rsidR="006F11E1" w:rsidRDefault="006F11E1" w:rsidP="006F11E1">
      <w:pPr>
        <w:pStyle w:val="Bib-Author"/>
      </w:pPr>
      <w:r>
        <w:t xml:space="preserve">[CISQ 2012] </w:t>
      </w:r>
    </w:p>
    <w:p w14:paraId="5EDC50B8" w14:textId="77777777" w:rsidR="006F11E1" w:rsidRDefault="006F11E1" w:rsidP="006F11E1">
      <w:pPr>
        <w:pStyle w:val="Bib-Entry"/>
      </w:pPr>
      <w:r>
        <w:t xml:space="preserve">CISQ Specifications for Automated Quality Characteristic Measures, </w:t>
      </w:r>
      <w:r w:rsidRPr="00285174">
        <w:t>CISQ–TR–2012–01</w:t>
      </w:r>
      <w:r>
        <w:t xml:space="preserve">, </w:t>
      </w:r>
      <w:hyperlink r:id="rId51" w:history="1">
        <w:r w:rsidRPr="00E161F8">
          <w:rPr>
            <w:rStyle w:val="Hyperlink"/>
          </w:rPr>
          <w:t>http://it-cisq.org/wp-content/uploads/2012/09/CISQ-Specification-for-Automated-Quality-Characteristic-Measures.pdf</w:t>
        </w:r>
      </w:hyperlink>
    </w:p>
    <w:p w14:paraId="1C6D825F" w14:textId="77777777" w:rsidR="006F11E1" w:rsidRDefault="006F11E1" w:rsidP="006F11E1">
      <w:pPr>
        <w:pStyle w:val="Bib-Author"/>
      </w:pPr>
      <w:r>
        <w:t xml:space="preserve">[FDA 2010] </w:t>
      </w:r>
    </w:p>
    <w:p w14:paraId="302F40FE" w14:textId="77777777" w:rsidR="006F11E1" w:rsidRDefault="006F11E1" w:rsidP="006F11E1">
      <w:pPr>
        <w:pStyle w:val="Bib-Entry"/>
        <w:rPr>
          <w:rStyle w:val="Hyperlink"/>
        </w:rPr>
      </w:pPr>
      <w:proofErr w:type="gramStart"/>
      <w:r>
        <w:t>U.S. Food and Drug Administration.</w:t>
      </w:r>
      <w:proofErr w:type="gramEnd"/>
      <w:r>
        <w:t xml:space="preserve"> </w:t>
      </w:r>
      <w:r w:rsidRPr="00DC5157">
        <w:rPr>
          <w:i/>
        </w:rPr>
        <w:t>Guidance for Industry and FDA Staff Total Product Life C</w:t>
      </w:r>
      <w:r w:rsidRPr="00DC5157">
        <w:rPr>
          <w:i/>
        </w:rPr>
        <w:t>y</w:t>
      </w:r>
      <w:r w:rsidRPr="00DC5157">
        <w:rPr>
          <w:i/>
        </w:rPr>
        <w:t>cle: Infusion Pump Premarket Notification [510(k)] Submissions (Draft Guidance)</w:t>
      </w:r>
      <w:r>
        <w:rPr>
          <w:i/>
        </w:rPr>
        <w:t>.</w:t>
      </w:r>
      <w:r>
        <w:t xml:space="preserve"> </w:t>
      </w:r>
      <w:hyperlink r:id="rId52" w:history="1">
        <w:r w:rsidRPr="00ED5A4E">
          <w:rPr>
            <w:rStyle w:val="Hyperlink"/>
          </w:rPr>
          <w:t>http://www.fda.gov/MedicalDevices/DeviceRegulationandGuidance/GuidanceDocuments/ucm206153.htm</w:t>
        </w:r>
      </w:hyperlink>
    </w:p>
    <w:p w14:paraId="63B086F2" w14:textId="77777777" w:rsidR="00311D1D" w:rsidRPr="007005A1" w:rsidRDefault="00311D1D" w:rsidP="00311D1D">
      <w:pPr>
        <w:pStyle w:val="Bib-Author"/>
      </w:pPr>
      <w:r>
        <w:t>[Feiler 2012]</w:t>
      </w:r>
    </w:p>
    <w:p w14:paraId="0635E0D0" w14:textId="77777777" w:rsidR="00311D1D" w:rsidRDefault="00311D1D" w:rsidP="00311D1D">
      <w:pPr>
        <w:pStyle w:val="Bib-Entry"/>
      </w:pPr>
      <w:proofErr w:type="spellStart"/>
      <w:proofErr w:type="gramStart"/>
      <w:r w:rsidRPr="00DB7E81">
        <w:t>Feiler</w:t>
      </w:r>
      <w:proofErr w:type="spellEnd"/>
      <w:r w:rsidRPr="00DB7E81">
        <w:t xml:space="preserve">, Peter; </w:t>
      </w:r>
      <w:proofErr w:type="spellStart"/>
      <w:r w:rsidRPr="00DB7E81">
        <w:t>Goodenough</w:t>
      </w:r>
      <w:proofErr w:type="spellEnd"/>
      <w:r w:rsidRPr="00DB7E81">
        <w:t xml:space="preserve">, John; </w:t>
      </w:r>
      <w:proofErr w:type="spellStart"/>
      <w:r w:rsidRPr="00DB7E81">
        <w:t>Gurfinkel</w:t>
      </w:r>
      <w:proofErr w:type="spellEnd"/>
      <w:r w:rsidRPr="00DB7E81">
        <w:t xml:space="preserve">, </w:t>
      </w:r>
      <w:proofErr w:type="spellStart"/>
      <w:r w:rsidRPr="00DB7E81">
        <w:t>Arie</w:t>
      </w:r>
      <w:proofErr w:type="spellEnd"/>
      <w:r w:rsidRPr="00DB7E81">
        <w:t xml:space="preserve">; Weinstock, Charles; &amp; </w:t>
      </w:r>
      <w:proofErr w:type="spellStart"/>
      <w:r w:rsidRPr="00DB7E81">
        <w:t>Wrage</w:t>
      </w:r>
      <w:proofErr w:type="spellEnd"/>
      <w:r w:rsidRPr="00DB7E81">
        <w:t>, Lutz.</w:t>
      </w:r>
      <w:proofErr w:type="gramEnd"/>
      <w:r w:rsidRPr="00DB7E81">
        <w:t xml:space="preserve"> </w:t>
      </w:r>
      <w:proofErr w:type="gramStart"/>
      <w:r w:rsidRPr="00DC5157">
        <w:rPr>
          <w:i/>
        </w:rPr>
        <w:t>Reliability Improvement and Validation Framework</w:t>
      </w:r>
      <w:r w:rsidRPr="00DB7E81">
        <w:t xml:space="preserve"> (CMU/SEI-2012-SR-013).</w:t>
      </w:r>
      <w:proofErr w:type="gramEnd"/>
      <w:r w:rsidRPr="00DB7E81">
        <w:t xml:space="preserve"> </w:t>
      </w:r>
      <w:proofErr w:type="gramStart"/>
      <w:r w:rsidRPr="00DB7E81">
        <w:t>Software Engineering Inst</w:t>
      </w:r>
      <w:r w:rsidRPr="00DB7E81">
        <w:t>i</w:t>
      </w:r>
      <w:r w:rsidRPr="00DB7E81">
        <w:t>tute, Carnegie Mellon University, 2012.</w:t>
      </w:r>
      <w:proofErr w:type="gramEnd"/>
      <w:r w:rsidRPr="00DB7E81">
        <w:t xml:space="preserve"> </w:t>
      </w:r>
      <w:hyperlink r:id="rId53" w:history="1">
        <w:r w:rsidRPr="002C2B51">
          <w:rPr>
            <w:rStyle w:val="Hyperlink"/>
          </w:rPr>
          <w:t>http://resources.sei.cmu.edu/library/asset-view.cfm?AssetID=34069</w:t>
        </w:r>
      </w:hyperlink>
      <w:r w:rsidRPr="00653B7E">
        <w:t xml:space="preserve"> </w:t>
      </w:r>
    </w:p>
    <w:p w14:paraId="1FDD18E2" w14:textId="77777777" w:rsidR="006F11E1" w:rsidRDefault="006F11E1" w:rsidP="006F11E1">
      <w:pPr>
        <w:pStyle w:val="Bib-Author"/>
      </w:pPr>
      <w:r>
        <w:t>[Hogood 2004]</w:t>
      </w:r>
    </w:p>
    <w:p w14:paraId="001049F5" w14:textId="77777777" w:rsidR="006F11E1" w:rsidRPr="00125EE4" w:rsidRDefault="006F11E1" w:rsidP="006F11E1">
      <w:pPr>
        <w:pStyle w:val="Bib-Entry"/>
      </w:pPr>
      <w:proofErr w:type="spellStart"/>
      <w:proofErr w:type="gramStart"/>
      <w:r w:rsidRPr="00125EE4">
        <w:t>Hoglund</w:t>
      </w:r>
      <w:proofErr w:type="spellEnd"/>
      <w:r w:rsidRPr="00125EE4">
        <w:t>, G. &amp; McGraw, G. (2004).</w:t>
      </w:r>
      <w:proofErr w:type="gramEnd"/>
      <w:r w:rsidRPr="00125EE4">
        <w:t xml:space="preserve"> </w:t>
      </w:r>
      <w:proofErr w:type="gramStart"/>
      <w:r w:rsidRPr="00125EE4">
        <w:t>Exploiting Software: How to Break Code.</w:t>
      </w:r>
      <w:proofErr w:type="gramEnd"/>
      <w:r w:rsidRPr="00125EE4">
        <w:t xml:space="preserve"> Boston: Addison</w:t>
      </w:r>
      <w:r w:rsidRPr="00125EE4">
        <w:rPr>
          <w:rFonts w:ascii="Cambria Math" w:hAnsi="Cambria Math" w:cs="Cambria Math"/>
        </w:rPr>
        <w:t>‐</w:t>
      </w:r>
      <w:r w:rsidRPr="00125EE4">
        <w:t>Wesley.</w:t>
      </w:r>
    </w:p>
    <w:p w14:paraId="3AEB01C8" w14:textId="55607AD3" w:rsidR="006F11E1" w:rsidRDefault="006F11E1" w:rsidP="006F11E1">
      <w:pPr>
        <w:pStyle w:val="Bib-Author"/>
        <w:rPr>
          <w:bCs/>
        </w:rPr>
      </w:pPr>
      <w:r>
        <w:t>[Kelly</w:t>
      </w:r>
      <w:r>
        <w:rPr>
          <w:spacing w:val="-4"/>
        </w:rPr>
        <w:t xml:space="preserve"> </w:t>
      </w:r>
      <w:r>
        <w:t>2004]</w:t>
      </w:r>
    </w:p>
    <w:p w14:paraId="64B03C28" w14:textId="77777777" w:rsidR="006F11E1" w:rsidRPr="00314A9F" w:rsidRDefault="006F11E1" w:rsidP="006F11E1">
      <w:pPr>
        <w:pStyle w:val="Bib-Entry"/>
      </w:pPr>
      <w:r>
        <w:rPr>
          <w:spacing w:val="-2"/>
        </w:rPr>
        <w:t>Kelly,</w:t>
      </w:r>
      <w:r>
        <w:t xml:space="preserve"> T. &amp; </w:t>
      </w:r>
      <w:r>
        <w:rPr>
          <w:spacing w:val="-2"/>
        </w:rPr>
        <w:t>Weaver,</w:t>
      </w:r>
      <w:r>
        <w:t xml:space="preserve"> </w:t>
      </w:r>
      <w:proofErr w:type="gramStart"/>
      <w:r>
        <w:t>R</w:t>
      </w:r>
      <w:proofErr w:type="gramEnd"/>
      <w:r>
        <w:t>. “The</w:t>
      </w:r>
      <w:r>
        <w:rPr>
          <w:spacing w:val="-3"/>
        </w:rPr>
        <w:t xml:space="preserve"> </w:t>
      </w:r>
      <w:r>
        <w:t>Goal Structuring</w:t>
      </w:r>
      <w:r>
        <w:rPr>
          <w:spacing w:val="-3"/>
        </w:rPr>
        <w:t xml:space="preserve"> </w:t>
      </w:r>
      <w:r>
        <w:t>Notation: A</w:t>
      </w:r>
      <w:r>
        <w:rPr>
          <w:spacing w:val="1"/>
        </w:rPr>
        <w:t xml:space="preserve"> </w:t>
      </w:r>
      <w:r>
        <w:t>Safety</w:t>
      </w:r>
      <w:r>
        <w:rPr>
          <w:spacing w:val="-5"/>
        </w:rPr>
        <w:t xml:space="preserve"> </w:t>
      </w:r>
      <w:r>
        <w:t>Argument Notation.”</w:t>
      </w:r>
      <w:r>
        <w:rPr>
          <w:spacing w:val="-2"/>
        </w:rPr>
        <w:t xml:space="preserve"> </w:t>
      </w:r>
      <w:proofErr w:type="gramStart"/>
      <w:r>
        <w:rPr>
          <w:i/>
          <w:spacing w:val="-2"/>
        </w:rPr>
        <w:t>Procee</w:t>
      </w:r>
      <w:r>
        <w:rPr>
          <w:i/>
          <w:spacing w:val="-2"/>
        </w:rPr>
        <w:t>d</w:t>
      </w:r>
      <w:r>
        <w:rPr>
          <w:i/>
        </w:rPr>
        <w:t xml:space="preserve">ings of </w:t>
      </w:r>
      <w:r>
        <w:rPr>
          <w:i/>
          <w:spacing w:val="-2"/>
        </w:rPr>
        <w:t>International</w:t>
      </w:r>
      <w:r>
        <w:rPr>
          <w:i/>
        </w:rPr>
        <w:t xml:space="preserve"> </w:t>
      </w:r>
      <w:r>
        <w:rPr>
          <w:i/>
          <w:spacing w:val="-2"/>
        </w:rPr>
        <w:t>Workshop</w:t>
      </w:r>
      <w:r>
        <w:rPr>
          <w:i/>
        </w:rPr>
        <w:t xml:space="preserve"> on </w:t>
      </w:r>
      <w:r>
        <w:rPr>
          <w:i/>
          <w:spacing w:val="-2"/>
        </w:rPr>
        <w:t>Models</w:t>
      </w:r>
      <w:r>
        <w:rPr>
          <w:i/>
        </w:rPr>
        <w:t xml:space="preserve"> and</w:t>
      </w:r>
      <w:r>
        <w:rPr>
          <w:i/>
          <w:spacing w:val="-3"/>
        </w:rPr>
        <w:t xml:space="preserve"> </w:t>
      </w:r>
      <w:r>
        <w:rPr>
          <w:i/>
          <w:spacing w:val="-2"/>
        </w:rPr>
        <w:t>Processes</w:t>
      </w:r>
      <w:r>
        <w:rPr>
          <w:i/>
          <w:spacing w:val="-3"/>
        </w:rPr>
        <w:t xml:space="preserve"> </w:t>
      </w:r>
      <w:r>
        <w:rPr>
          <w:i/>
        </w:rPr>
        <w:t xml:space="preserve">for the </w:t>
      </w:r>
      <w:r>
        <w:rPr>
          <w:i/>
          <w:spacing w:val="-2"/>
        </w:rPr>
        <w:t>Evaluation</w:t>
      </w:r>
      <w:r>
        <w:rPr>
          <w:i/>
          <w:spacing w:val="-3"/>
        </w:rPr>
        <w:t xml:space="preserve"> </w:t>
      </w:r>
      <w:r>
        <w:rPr>
          <w:i/>
        </w:rPr>
        <w:t>of COTS</w:t>
      </w:r>
      <w:r>
        <w:rPr>
          <w:i/>
          <w:spacing w:val="-5"/>
        </w:rPr>
        <w:t xml:space="preserve"> </w:t>
      </w:r>
      <w:r>
        <w:rPr>
          <w:i/>
        </w:rPr>
        <w:t>Components (MPEC</w:t>
      </w:r>
      <w:r>
        <w:rPr>
          <w:i/>
          <w:spacing w:val="1"/>
        </w:rPr>
        <w:t xml:space="preserve"> </w:t>
      </w:r>
      <w:r>
        <w:rPr>
          <w:i/>
          <w:spacing w:val="-2"/>
        </w:rPr>
        <w:t>2004).</w:t>
      </w:r>
      <w:proofErr w:type="gramEnd"/>
      <w:r>
        <w:rPr>
          <w:i/>
          <w:spacing w:val="-3"/>
        </w:rPr>
        <w:t xml:space="preserve"> </w:t>
      </w:r>
      <w:r>
        <w:t>Edinburgh, Scotland</w:t>
      </w:r>
      <w:r>
        <w:rPr>
          <w:i/>
        </w:rPr>
        <w:t>,</w:t>
      </w:r>
      <w:r>
        <w:rPr>
          <w:i/>
          <w:spacing w:val="-3"/>
        </w:rPr>
        <w:t xml:space="preserve"> </w:t>
      </w:r>
      <w:r>
        <w:t>May</w:t>
      </w:r>
      <w:r>
        <w:rPr>
          <w:spacing w:val="-5"/>
        </w:rPr>
        <w:t xml:space="preserve"> </w:t>
      </w:r>
      <w:r>
        <w:t xml:space="preserve">2004. </w:t>
      </w:r>
      <w:proofErr w:type="gramStart"/>
      <w:r>
        <w:t>IEEE</w:t>
      </w:r>
      <w:r>
        <w:rPr>
          <w:spacing w:val="-3"/>
        </w:rPr>
        <w:t xml:space="preserve"> </w:t>
      </w:r>
      <w:r>
        <w:t xml:space="preserve">Computer </w:t>
      </w:r>
      <w:r>
        <w:rPr>
          <w:spacing w:val="-2"/>
        </w:rPr>
        <w:t>Society,</w:t>
      </w:r>
      <w:r>
        <w:t xml:space="preserve"> 2004.</w:t>
      </w:r>
      <w:proofErr w:type="gramEnd"/>
    </w:p>
    <w:p w14:paraId="2E77821D" w14:textId="77777777" w:rsidR="006F11E1" w:rsidRPr="005426CC" w:rsidRDefault="006F11E1" w:rsidP="006F11E1">
      <w:pPr>
        <w:pStyle w:val="Bib-Author"/>
      </w:pPr>
      <w:r>
        <w:t>[Nichols 2012]</w:t>
      </w:r>
    </w:p>
    <w:p w14:paraId="39C75359" w14:textId="77777777" w:rsidR="006F11E1" w:rsidRDefault="006F11E1" w:rsidP="006F11E1">
      <w:pPr>
        <w:pStyle w:val="Bib-Entry"/>
      </w:pPr>
      <w:r>
        <w:t>Nichols, William R., “Plan for Success, Model the Cost of Quality”, Software Quality Professio</w:t>
      </w:r>
      <w:r>
        <w:t>n</w:t>
      </w:r>
      <w:r>
        <w:t xml:space="preserve">al, vol. 14, </w:t>
      </w:r>
      <w:proofErr w:type="gramStart"/>
      <w:r>
        <w:t>2.,</w:t>
      </w:r>
      <w:proofErr w:type="gramEnd"/>
      <w:r>
        <w:t xml:space="preserve"> (March 2012), p4-11.</w:t>
      </w:r>
    </w:p>
    <w:p w14:paraId="2ED55BBE" w14:textId="77777777" w:rsidR="006F11E1" w:rsidRDefault="006F11E1" w:rsidP="006F11E1">
      <w:pPr>
        <w:pStyle w:val="Bib-Author"/>
      </w:pPr>
      <w:r>
        <w:lastRenderedPageBreak/>
        <w:t>[OMG 2013]</w:t>
      </w:r>
    </w:p>
    <w:p w14:paraId="4A2D5CC4" w14:textId="77777777" w:rsidR="006F11E1" w:rsidRDefault="006F11E1" w:rsidP="006F11E1">
      <w:pPr>
        <w:pStyle w:val="Bib-Entry"/>
      </w:pPr>
      <w:r>
        <w:t xml:space="preserve">OMG, </w:t>
      </w:r>
      <w:r w:rsidRPr="001E1227">
        <w:rPr>
          <w:i/>
        </w:rPr>
        <w:t>How to Deliver Resilient, Secure, Efficient, and Easily Changed IT Systems in Line with CISQ Recommendations</w:t>
      </w:r>
      <w:r>
        <w:rPr>
          <w:i/>
        </w:rPr>
        <w:t xml:space="preserve">, </w:t>
      </w:r>
      <w:hyperlink r:id="rId54" w:history="1">
        <w:r w:rsidRPr="00510DBC">
          <w:rPr>
            <w:rStyle w:val="Hyperlink"/>
          </w:rPr>
          <w:t>http://www.omg.org/CISQ_compliant_IT_Systemsv.4-3.pdf</w:t>
        </w:r>
      </w:hyperlink>
    </w:p>
    <w:p w14:paraId="1EE56BD5" w14:textId="77777777" w:rsidR="006F11E1" w:rsidRDefault="006F11E1" w:rsidP="006F11E1">
      <w:pPr>
        <w:pStyle w:val="Bib-Author"/>
      </w:pPr>
      <w:r>
        <w:t>[Open Group 2014]</w:t>
      </w:r>
    </w:p>
    <w:p w14:paraId="62667F20" w14:textId="77777777" w:rsidR="006F11E1" w:rsidRDefault="006F11E1" w:rsidP="006F11E1">
      <w:pPr>
        <w:pStyle w:val="Bib-Entry"/>
      </w:pPr>
      <w:r w:rsidRPr="00A6545E">
        <w:t>Open Trusted Technology Provider Standard (O-TTPS</w:t>
      </w:r>
      <w:proofErr w:type="gramStart"/>
      <w:r w:rsidRPr="00A6545E">
        <w:t>)™</w:t>
      </w:r>
      <w:proofErr w:type="gramEnd"/>
      <w:r>
        <w:t xml:space="preserve">, </w:t>
      </w:r>
      <w:r w:rsidRPr="00A6545E">
        <w:t>Version 1.0</w:t>
      </w:r>
      <w:r>
        <w:t xml:space="preserve">, </w:t>
      </w:r>
      <w:r w:rsidRPr="00A6545E">
        <w:rPr>
          <w:i/>
        </w:rPr>
        <w:t>Mitigating Maliciously Tainted and Counterfeit Products</w:t>
      </w:r>
      <w:r>
        <w:t xml:space="preserve">, </w:t>
      </w:r>
      <w:hyperlink r:id="rId55" w:history="1">
        <w:r w:rsidRPr="000C4BDB">
          <w:rPr>
            <w:rStyle w:val="Hyperlink"/>
          </w:rPr>
          <w:t>https://www2.opengroup.org/ogsys/catalog/C139</w:t>
        </w:r>
      </w:hyperlink>
    </w:p>
    <w:p w14:paraId="4347B9A8" w14:textId="77777777" w:rsidR="00DF224A" w:rsidRPr="00E10196" w:rsidRDefault="00DF224A">
      <w:pPr>
        <w:pStyle w:val="Bib-Entry-IEEE"/>
      </w:pPr>
      <w:bookmarkStart w:id="83" w:name="_GoBack"/>
      <w:bookmarkEnd w:id="83"/>
    </w:p>
    <w:sectPr w:rsidR="00DF224A" w:rsidRPr="00E10196" w:rsidSect="00150453">
      <w:headerReference w:type="even" r:id="rId56"/>
      <w:footerReference w:type="even" r:id="rId57"/>
      <w:footerReference w:type="default" r:id="rId58"/>
      <w:pgSz w:w="12240" w:h="15840" w:code="1"/>
      <w:pgMar w:top="1829" w:right="1800" w:bottom="1440" w:left="2160" w:header="720" w:footer="1008"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6" w:author="Sandy Shrum" w:date="2014-05-21T13:46:00Z" w:initials="ss">
    <w:p w14:paraId="4B4CC1D9" w14:textId="56822C28" w:rsidR="00EF1CF9" w:rsidRDefault="00EF1CF9">
      <w:pPr>
        <w:pStyle w:val="CommentText"/>
      </w:pPr>
      <w:r>
        <w:rPr>
          <w:rStyle w:val="CommentReference"/>
        </w:rPr>
        <w:annotationRef/>
      </w:r>
      <w:r>
        <w:t>Not sure this is the correct reference. Is there a table “Software Reliability Cha</w:t>
      </w:r>
      <w:r>
        <w:t>l</w:t>
      </w:r>
      <w:r>
        <w:t>lenges”?</w:t>
      </w:r>
    </w:p>
  </w:comment>
  <w:comment w:id="27" w:author="Sandy Shrum" w:date="2014-05-21T13:47:00Z" w:initials="ss">
    <w:p w14:paraId="5AE4F171" w14:textId="60862821" w:rsidR="00EF1CF9" w:rsidRDefault="00EF1CF9">
      <w:pPr>
        <w:pStyle w:val="CommentText"/>
      </w:pPr>
      <w:r>
        <w:rPr>
          <w:rStyle w:val="CommentReference"/>
        </w:rPr>
        <w:annotationRef/>
      </w:r>
      <w:r>
        <w:t>Not sure this is the correct reference. Is there a table “Software Reliability Cha</w:t>
      </w:r>
      <w:r>
        <w:t>l</w:t>
      </w:r>
      <w:r>
        <w:t>lenges”?</w:t>
      </w:r>
    </w:p>
  </w:comment>
  <w:comment w:id="46" w:author="Sandy Shrum" w:date="2014-05-21T13:46:00Z" w:initials="ss">
    <w:p w14:paraId="672DAE5A" w14:textId="433B0C1E" w:rsidR="00EF1CF9" w:rsidRDefault="00EF1CF9">
      <w:pPr>
        <w:pStyle w:val="CommentText"/>
      </w:pPr>
      <w:r>
        <w:rPr>
          <w:rStyle w:val="CommentReference"/>
        </w:rPr>
        <w:annotationRef/>
      </w:r>
      <w:r>
        <w:t>I can’t find a table with a co</w:t>
      </w:r>
      <w:r>
        <w:t>l</w:t>
      </w:r>
      <w:r>
        <w:t>umn labeled “Poor Result.”</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E24A1B" w14:textId="77777777" w:rsidR="00C91C6C" w:rsidRDefault="00C91C6C">
      <w:r>
        <w:separator/>
      </w:r>
    </w:p>
    <w:p w14:paraId="0A41B1FF" w14:textId="77777777" w:rsidR="00C91C6C" w:rsidRDefault="00C91C6C"/>
  </w:endnote>
  <w:endnote w:type="continuationSeparator" w:id="0">
    <w:p w14:paraId="293C51CF" w14:textId="77777777" w:rsidR="00C91C6C" w:rsidRDefault="00C91C6C">
      <w:r>
        <w:continuationSeparator/>
      </w:r>
    </w:p>
    <w:p w14:paraId="0A1B473F" w14:textId="77777777" w:rsidR="00C91C6C" w:rsidRDefault="00C91C6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5" w14:textId="77777777" w:rsidR="00EF1CF9" w:rsidRDefault="00EF1CF9" w:rsidP="0077707C">
    <w:pPr>
      <w:pStyle w:val="Footer"/>
      <w:spacing w:before="0"/>
      <w:ind w:left="-2304"/>
    </w:pPr>
    <w:r>
      <w:drawing>
        <wp:inline distT="0" distB="0" distL="0" distR="0" wp14:anchorId="4347B9D3" wp14:editId="4347B9D4">
          <wp:extent cx="8496300" cy="1876425"/>
          <wp:effectExtent l="19050" t="0" r="0" b="0"/>
          <wp:docPr id="3" name="Picture 3" descr="T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R"/>
                  <pic:cNvPicPr>
                    <a:picLocks noChangeAspect="1" noChangeArrowheads="1"/>
                  </pic:cNvPicPr>
                </pic:nvPicPr>
                <pic:blipFill>
                  <a:blip r:embed="rId1"/>
                  <a:srcRect/>
                  <a:stretch>
                    <a:fillRect/>
                  </a:stretch>
                </pic:blipFill>
                <pic:spPr bwMode="auto">
                  <a:xfrm>
                    <a:off x="0" y="0"/>
                    <a:ext cx="8496300" cy="1876425"/>
                  </a:xfrm>
                  <a:prstGeom prst="rect">
                    <a:avLst/>
                  </a:prstGeom>
                  <a:noFill/>
                  <a:ln w="9525">
                    <a:noFill/>
                    <a:miter lim="800000"/>
                    <a:headEnd/>
                    <a:tailEnd/>
                  </a:ln>
                </pic:spPr>
              </pic:pic>
            </a:graphicData>
          </a:graphic>
        </wp:inline>
      </w:drawing>
    </w:r>
  </w:p>
  <w:p w14:paraId="4347B9C6" w14:textId="77777777" w:rsidR="00EF1CF9" w:rsidRPr="004B7061" w:rsidRDefault="00EF1CF9" w:rsidP="0077707C">
    <w:pPr>
      <w:pStyle w:val="Footer"/>
      <w:spacing w:before="1440"/>
    </w:pPr>
    <w:r>
      <w:drawing>
        <wp:inline distT="0" distB="0" distL="0" distR="0" wp14:anchorId="4347B9D5" wp14:editId="4347B9D6">
          <wp:extent cx="1836639" cy="16459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MU_Blk_Word"/>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1836639" cy="164592"/>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8" w14:textId="77777777" w:rsidR="00EF1CF9" w:rsidRPr="007D5AA6" w:rsidRDefault="00EF1CF9" w:rsidP="007D5AA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9" w14:textId="77777777" w:rsidR="00EF1CF9" w:rsidRPr="00556B55" w:rsidRDefault="00EF1CF9" w:rsidP="00556B55">
    <w:pPr>
      <w:pStyle w:val="Footer"/>
      <w:rPr>
        <w:rStyle w:val="PageNumber"/>
        <w:caps w:val="0"/>
        <w:color w:val="auto"/>
        <w:sz w:val="18"/>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D" w14:textId="77777777" w:rsidR="00EF1CF9" w:rsidRDefault="00EF1CF9">
    <w:pPr>
      <w:pStyle w:val="Footer"/>
      <w:tabs>
        <w:tab w:val="clear" w:pos="8640"/>
        <w:tab w:val="right" w:pos="8208"/>
      </w:tabs>
      <w:jc w:val="lef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E" w14:textId="77777777" w:rsidR="00EF1CF9" w:rsidRDefault="00EF1CF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2E27561" w14:textId="77777777" w:rsidR="00C91C6C" w:rsidRPr="00516971" w:rsidRDefault="00C91C6C" w:rsidP="00516971">
      <w:pPr>
        <w:pStyle w:val="Footer"/>
        <w:pBdr>
          <w:top w:val="single" w:sz="2" w:space="0" w:color="00357F"/>
        </w:pBdr>
        <w:spacing w:before="0" w:line="180" w:lineRule="atLeast"/>
        <w:jc w:val="left"/>
        <w:rPr>
          <w:szCs w:val="22"/>
        </w:rPr>
      </w:pPr>
      <w:r>
        <w:rPr>
          <w:szCs w:val="22"/>
        </w:rPr>
        <mc:AlternateContent>
          <mc:Choice Requires="wps">
            <w:drawing>
              <wp:anchor distT="0" distB="0" distL="114300" distR="114300" simplePos="0" relativeHeight="251659264" behindDoc="0" locked="0" layoutInCell="1" allowOverlap="1" wp14:anchorId="64BDE20D" wp14:editId="6396086D">
                <wp:simplePos x="0" y="0"/>
                <wp:positionH relativeFrom="column">
                  <wp:posOffset>457200</wp:posOffset>
                </wp:positionH>
                <wp:positionV relativeFrom="paragraph">
                  <wp:posOffset>2819400</wp:posOffset>
                </wp:positionV>
                <wp:extent cx="7924800" cy="0"/>
                <wp:effectExtent l="9525" t="9525" r="9525" b="9525"/>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24800" cy="0"/>
                        </a:xfrm>
                        <a:prstGeom prst="line">
                          <a:avLst/>
                        </a:prstGeom>
                        <a:noFill/>
                        <a:ln w="3175">
                          <a:solidFill>
                            <a:srgbClr val="33339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222pt" to="66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xdWFAIAACgEAAAOAAAAZHJzL2Uyb0RvYy54bWysU8uu2jAQ3VfqP1jeQxJIuR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" strokecolor="#339" strokeweight=".25pt"/>
            </w:pict>
          </mc:Fallback>
        </mc:AlternateContent>
      </w:r>
    </w:p>
  </w:footnote>
  <w:footnote w:type="continuationSeparator" w:id="0">
    <w:p w14:paraId="3B81DA84" w14:textId="77777777" w:rsidR="00C91C6C" w:rsidRDefault="00C91C6C">
      <w:r>
        <w:continuationSeparator/>
      </w:r>
    </w:p>
    <w:p w14:paraId="7FA8D80F" w14:textId="77777777" w:rsidR="00C91C6C" w:rsidRDefault="00C91C6C"/>
  </w:footnote>
  <w:footnote w:id="1">
    <w:p w14:paraId="360C5BEF" w14:textId="77777777" w:rsidR="00EF1CF9" w:rsidRDefault="00EF1CF9" w:rsidP="000976BE">
      <w:pPr>
        <w:pStyle w:val="FootnoteText"/>
      </w:pPr>
      <w:r>
        <w:rPr>
          <w:rStyle w:val="FootnoteReference"/>
        </w:rPr>
        <w:footnoteRef/>
      </w:r>
      <w:r>
        <w:t xml:space="preserve"> </w:t>
      </w:r>
      <w:r>
        <w:tab/>
      </w:r>
      <w:r w:rsidRPr="00F70735">
        <w:t xml:space="preserve">The National Research Council report, Critical Code: Software </w:t>
      </w:r>
      <w:proofErr w:type="spellStart"/>
      <w:r w:rsidRPr="00F70735">
        <w:t>Producibility</w:t>
      </w:r>
      <w:proofErr w:type="spellEnd"/>
      <w:r w:rsidRPr="00F70735">
        <w:t xml:space="preserve"> for Defense.</w:t>
      </w:r>
    </w:p>
  </w:footnote>
  <w:footnote w:id="2">
    <w:p w14:paraId="24F10413" w14:textId="77777777" w:rsidR="00EF1CF9" w:rsidRDefault="00EF1CF9" w:rsidP="00A7463F">
      <w:pPr>
        <w:pStyle w:val="FootnoteText"/>
      </w:pPr>
      <w:r>
        <w:rPr>
          <w:rStyle w:val="FootnoteReference"/>
        </w:rPr>
        <w:footnoteRef/>
      </w:r>
      <w:r>
        <w:t xml:space="preserve"> </w:t>
      </w:r>
      <w:r>
        <w:tab/>
      </w:r>
      <w:proofErr w:type="gramStart"/>
      <w:r>
        <w:t>The Habit of Courting Disaster,</w:t>
      </w:r>
      <w:r w:rsidRPr="00222840">
        <w:t xml:space="preserve"> Char</w:t>
      </w:r>
      <w:r>
        <w:t xml:space="preserve">les </w:t>
      </w:r>
      <w:proofErr w:type="spellStart"/>
      <w:r>
        <w:t>Perrow</w:t>
      </w:r>
      <w:proofErr w:type="spellEnd"/>
      <w:r>
        <w:t>, The Nation (October 1986)</w:t>
      </w:r>
      <w:r w:rsidRPr="00222840">
        <w:t xml:space="preserve"> 346-356.</w:t>
      </w:r>
      <w:proofErr w:type="gramEnd"/>
    </w:p>
  </w:footnote>
  <w:footnote w:id="3">
    <w:p w14:paraId="4D362385" w14:textId="77777777" w:rsidR="00EF1CF9" w:rsidRDefault="00EF1CF9" w:rsidP="00A7463F">
      <w:pPr>
        <w:pStyle w:val="FootnoteText"/>
      </w:pPr>
      <w:r>
        <w:rPr>
          <w:rStyle w:val="FootnoteReference"/>
        </w:rPr>
        <w:footnoteRef/>
      </w:r>
      <w:r>
        <w:t xml:space="preserve"> </w:t>
      </w:r>
      <w:r>
        <w:tab/>
      </w:r>
      <w:r w:rsidRPr="009E4734">
        <w:t>The software failure was caused by a race condition. An error in the implementation of the software controls that managed access to the data by multiple processes caused the alarm system to stall while processing an event. With that software unable to complete that alarm event and move to the next one, the alarm processor buffer filled and eventually overflowed.</w:t>
      </w:r>
    </w:p>
  </w:footnote>
  <w:footnote w:id="4">
    <w:p w14:paraId="287A6001" w14:textId="77777777" w:rsidR="00EF1CF9" w:rsidRDefault="00EF1CF9" w:rsidP="006A3B81">
      <w:pPr>
        <w:pStyle w:val="FootnoteText"/>
      </w:pPr>
      <w:r>
        <w:rPr>
          <w:rStyle w:val="FootnoteReference"/>
        </w:rPr>
        <w:footnoteRef/>
      </w:r>
      <w:r>
        <w:t xml:space="preserve"> </w:t>
      </w:r>
      <w:r>
        <w:tab/>
        <w:t xml:space="preserve">Gary McGraw, Software [In]security and Scaling Automated Code Review </w:t>
      </w:r>
      <w:r w:rsidRPr="00794A10">
        <w:t>http://searchsecurity.techtarget.com/opinion/McGraw-Software-insecurity-and-scaling-automated-code-review</w:t>
      </w:r>
    </w:p>
  </w:footnote>
  <w:footnote w:id="5">
    <w:p w14:paraId="7FD0AC3F" w14:textId="25103C56" w:rsidR="00EF1CF9" w:rsidRDefault="00EF1CF9" w:rsidP="00EF1CF9">
      <w:pPr>
        <w:pStyle w:val="FootnoteText"/>
      </w:pPr>
      <w:r>
        <w:rPr>
          <w:rStyle w:val="FootnoteReference"/>
        </w:rPr>
        <w:footnoteRef/>
      </w:r>
      <w:r>
        <w:tab/>
      </w:r>
      <w:r w:rsidRPr="0059760F">
        <w:t>CISQ Specifications for Automated Quality Characteristic Measures, CISQ–TR–2012–01, http://it-cisq.org/wp-content/uploads/2012/09/CISQ-Specification-for-Automated-Quality-Characteristic-Measures.pdf</w:t>
      </w:r>
    </w:p>
  </w:footnote>
  <w:footnote w:id="6">
    <w:p w14:paraId="158DF924" w14:textId="7317186D" w:rsidR="00EF1CF9" w:rsidRDefault="00EF1CF9" w:rsidP="00EF1CF9">
      <w:pPr>
        <w:pStyle w:val="FootnoteText"/>
      </w:pPr>
      <w:r>
        <w:rPr>
          <w:rStyle w:val="FootnoteReference"/>
        </w:rPr>
        <w:footnoteRef/>
      </w:r>
      <w:r>
        <w:t xml:space="preserve"> </w:t>
      </w:r>
      <w:r>
        <w:tab/>
      </w:r>
      <w:r w:rsidRPr="0059760F">
        <w:t xml:space="preserve">SOFTWARE QUALITY IN 2012: A SURVEY OF THE STATE OF THE </w:t>
      </w:r>
      <w:r>
        <w:t xml:space="preserve">ART, </w:t>
      </w:r>
      <w:r w:rsidRPr="006F11E1">
        <w:t>http://sqgne.org/presentations/2012-13/Jones-Sep-2012.pdf</w:t>
      </w:r>
    </w:p>
  </w:footnote>
  <w:footnote w:id="7">
    <w:p w14:paraId="19A1EFBD" w14:textId="77777777" w:rsidR="00EF1CF9" w:rsidRDefault="00EF1CF9" w:rsidP="00FC78B9">
      <w:pPr>
        <w:pStyle w:val="FootnoteText"/>
      </w:pPr>
      <w:r>
        <w:rPr>
          <w:rStyle w:val="FootnoteReference"/>
        </w:rPr>
        <w:footnoteRef/>
      </w:r>
      <w:r>
        <w:t xml:space="preserve"> </w:t>
      </w:r>
      <w:r>
        <w:tab/>
      </w:r>
      <w:r w:rsidRPr="004E4B80">
        <w:t>http://blog.sei.cmu.edu/post.cfm/eliminative-argumentation-a-means-for-assuring-confidence-in-safety-critical-systems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4" w14:textId="77777777" w:rsidR="00EF1CF9" w:rsidRDefault="00EF1CF9" w:rsidP="007B6848">
    <w:pPr>
      <w:pStyle w:val="z-logo-SEI"/>
      <w:spacing w:before="0"/>
      <w:ind w:left="-792"/>
    </w:pPr>
    <w:r>
      <w:rPr>
        <w:noProof/>
      </w:rPr>
      <w:drawing>
        <wp:inline distT="0" distB="0" distL="0" distR="0" wp14:anchorId="4347B9D1" wp14:editId="4347B9D2">
          <wp:extent cx="2743200" cy="238125"/>
          <wp:effectExtent l="19050" t="0" r="0" b="0"/>
          <wp:docPr id="2" name="Picture 2" descr="SEI_CMYK_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I_CMYK_Word"/>
                  <pic:cNvPicPr>
                    <a:picLocks noChangeAspect="1" noChangeArrowheads="1"/>
                  </pic:cNvPicPr>
                </pic:nvPicPr>
                <pic:blipFill>
                  <a:blip r:embed="rId1"/>
                  <a:srcRect/>
                  <a:stretch>
                    <a:fillRect/>
                  </a:stretch>
                </pic:blipFill>
                <pic:spPr bwMode="auto">
                  <a:xfrm>
                    <a:off x="0" y="0"/>
                    <a:ext cx="2743200" cy="23812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7" w14:textId="77777777" w:rsidR="00EF1CF9" w:rsidRPr="008F1365" w:rsidRDefault="00EF1CF9" w:rsidP="008F136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47B9CC" w14:textId="77777777" w:rsidR="00EF1CF9" w:rsidRDefault="00EF1CF9"/>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C4C00EC"/>
    <w:lvl w:ilvl="0">
      <w:start w:val="1"/>
      <w:numFmt w:val="decimal"/>
      <w:lvlText w:val="%1."/>
      <w:lvlJc w:val="left"/>
      <w:pPr>
        <w:tabs>
          <w:tab w:val="num" w:pos="1800"/>
        </w:tabs>
        <w:ind w:left="1800" w:hanging="360"/>
      </w:pPr>
    </w:lvl>
  </w:abstractNum>
  <w:abstractNum w:abstractNumId="1">
    <w:nsid w:val="FFFFFF7D"/>
    <w:multiLevelType w:val="singleLevel"/>
    <w:tmpl w:val="04AEE6D8"/>
    <w:lvl w:ilvl="0">
      <w:start w:val="1"/>
      <w:numFmt w:val="decimal"/>
      <w:lvlText w:val="%1."/>
      <w:lvlJc w:val="left"/>
      <w:pPr>
        <w:tabs>
          <w:tab w:val="num" w:pos="1440"/>
        </w:tabs>
        <w:ind w:left="1440" w:hanging="360"/>
      </w:pPr>
    </w:lvl>
  </w:abstractNum>
  <w:abstractNum w:abstractNumId="2">
    <w:nsid w:val="FFFFFF7E"/>
    <w:multiLevelType w:val="singleLevel"/>
    <w:tmpl w:val="19A4FD96"/>
    <w:lvl w:ilvl="0">
      <w:start w:val="1"/>
      <w:numFmt w:val="decimal"/>
      <w:lvlText w:val="%1."/>
      <w:lvlJc w:val="left"/>
      <w:pPr>
        <w:tabs>
          <w:tab w:val="num" w:pos="1080"/>
        </w:tabs>
        <w:ind w:left="1080" w:hanging="360"/>
      </w:pPr>
    </w:lvl>
  </w:abstractNum>
  <w:abstractNum w:abstractNumId="3">
    <w:nsid w:val="FFFFFF7F"/>
    <w:multiLevelType w:val="singleLevel"/>
    <w:tmpl w:val="DF962CA4"/>
    <w:lvl w:ilvl="0">
      <w:start w:val="1"/>
      <w:numFmt w:val="decimal"/>
      <w:lvlText w:val="%1."/>
      <w:lvlJc w:val="left"/>
      <w:pPr>
        <w:tabs>
          <w:tab w:val="num" w:pos="720"/>
        </w:tabs>
        <w:ind w:left="720" w:hanging="360"/>
      </w:pPr>
    </w:lvl>
  </w:abstractNum>
  <w:abstractNum w:abstractNumId="4">
    <w:nsid w:val="FFFFFF80"/>
    <w:multiLevelType w:val="singleLevel"/>
    <w:tmpl w:val="B1CECA4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CB50479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24F2B74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2866431E"/>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A5260F0E"/>
    <w:lvl w:ilvl="0">
      <w:start w:val="1"/>
      <w:numFmt w:val="decimal"/>
      <w:lvlText w:val="%1."/>
      <w:lvlJc w:val="left"/>
      <w:pPr>
        <w:tabs>
          <w:tab w:val="num" w:pos="360"/>
        </w:tabs>
        <w:ind w:left="360" w:hanging="360"/>
      </w:pPr>
    </w:lvl>
  </w:abstractNum>
  <w:abstractNum w:abstractNumId="9">
    <w:nsid w:val="FFFFFF89"/>
    <w:multiLevelType w:val="singleLevel"/>
    <w:tmpl w:val="2586FBEC"/>
    <w:lvl w:ilvl="0">
      <w:start w:val="1"/>
      <w:numFmt w:val="bullet"/>
      <w:lvlText w:val=""/>
      <w:lvlJc w:val="left"/>
      <w:pPr>
        <w:tabs>
          <w:tab w:val="num" w:pos="360"/>
        </w:tabs>
        <w:ind w:left="360" w:hanging="360"/>
      </w:pPr>
      <w:rPr>
        <w:rFonts w:ascii="Symbol" w:hAnsi="Symbol" w:hint="default"/>
      </w:rPr>
    </w:lvl>
  </w:abstractNum>
  <w:abstractNum w:abstractNumId="10">
    <w:nsid w:val="00915CC8"/>
    <w:multiLevelType w:val="singleLevel"/>
    <w:tmpl w:val="0A5CBBAA"/>
    <w:lvl w:ilvl="0">
      <w:start w:val="1"/>
      <w:numFmt w:val="bullet"/>
      <w:pStyle w:val="ListBulleted1"/>
      <w:lvlText w:val=""/>
      <w:lvlJc w:val="left"/>
      <w:pPr>
        <w:tabs>
          <w:tab w:val="num" w:pos="360"/>
        </w:tabs>
        <w:ind w:left="360" w:hanging="360"/>
      </w:pPr>
      <w:rPr>
        <w:rFonts w:ascii="Symbol" w:hAnsi="Symbol" w:hint="default"/>
        <w:sz w:val="16"/>
        <w:szCs w:val="16"/>
      </w:rPr>
    </w:lvl>
  </w:abstractNum>
  <w:abstractNum w:abstractNumId="11">
    <w:nsid w:val="14703B60"/>
    <w:multiLevelType w:val="multilevel"/>
    <w:tmpl w:val="E8EC4F64"/>
    <w:lvl w:ilvl="0">
      <w:start w:val="1"/>
      <w:numFmt w:val="decimal"/>
      <w:lvlRestart w:val="0"/>
      <w:lvlText w:val="%1."/>
      <w:legacy w:legacy="1" w:legacySpace="0" w:legacyIndent="432"/>
      <w:lvlJc w:val="left"/>
      <w:pPr>
        <w:ind w:left="432" w:hanging="432"/>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2">
    <w:nsid w:val="17294253"/>
    <w:multiLevelType w:val="singleLevel"/>
    <w:tmpl w:val="3014BBD6"/>
    <w:lvl w:ilvl="0">
      <w:start w:val="1"/>
      <w:numFmt w:val="decimal"/>
      <w:lvlText w:val="%1."/>
      <w:legacy w:legacy="1" w:legacySpace="0" w:legacyIndent="432"/>
      <w:lvlJc w:val="left"/>
      <w:pPr>
        <w:ind w:left="432" w:hanging="432"/>
      </w:pPr>
    </w:lvl>
  </w:abstractNum>
  <w:abstractNum w:abstractNumId="13">
    <w:nsid w:val="320405C3"/>
    <w:multiLevelType w:val="hybridMultilevel"/>
    <w:tmpl w:val="7FFE90E8"/>
    <w:lvl w:ilvl="0" w:tplc="C0AC32C4">
      <w:start w:val="1"/>
      <w:numFmt w:val="decimal"/>
      <w:lvlText w:val="%1."/>
      <w:lvlJc w:val="left"/>
      <w:pPr>
        <w:tabs>
          <w:tab w:val="num" w:pos="720"/>
        </w:tabs>
        <w:ind w:left="720" w:hanging="360"/>
      </w:pPr>
    </w:lvl>
    <w:lvl w:ilvl="1" w:tplc="050E5C9C" w:tentative="1">
      <w:start w:val="1"/>
      <w:numFmt w:val="decimal"/>
      <w:lvlText w:val="%2."/>
      <w:lvlJc w:val="left"/>
      <w:pPr>
        <w:tabs>
          <w:tab w:val="num" w:pos="1440"/>
        </w:tabs>
        <w:ind w:left="1440" w:hanging="360"/>
      </w:pPr>
    </w:lvl>
    <w:lvl w:ilvl="2" w:tplc="2E4EBBF2" w:tentative="1">
      <w:start w:val="1"/>
      <w:numFmt w:val="decimal"/>
      <w:lvlText w:val="%3."/>
      <w:lvlJc w:val="left"/>
      <w:pPr>
        <w:tabs>
          <w:tab w:val="num" w:pos="2160"/>
        </w:tabs>
        <w:ind w:left="2160" w:hanging="360"/>
      </w:pPr>
    </w:lvl>
    <w:lvl w:ilvl="3" w:tplc="DBEEC312" w:tentative="1">
      <w:start w:val="1"/>
      <w:numFmt w:val="decimal"/>
      <w:lvlText w:val="%4."/>
      <w:lvlJc w:val="left"/>
      <w:pPr>
        <w:tabs>
          <w:tab w:val="num" w:pos="2880"/>
        </w:tabs>
        <w:ind w:left="2880" w:hanging="360"/>
      </w:pPr>
    </w:lvl>
    <w:lvl w:ilvl="4" w:tplc="419C48E8" w:tentative="1">
      <w:start w:val="1"/>
      <w:numFmt w:val="decimal"/>
      <w:lvlText w:val="%5."/>
      <w:lvlJc w:val="left"/>
      <w:pPr>
        <w:tabs>
          <w:tab w:val="num" w:pos="3600"/>
        </w:tabs>
        <w:ind w:left="3600" w:hanging="360"/>
      </w:pPr>
    </w:lvl>
    <w:lvl w:ilvl="5" w:tplc="5A56EAEE" w:tentative="1">
      <w:start w:val="1"/>
      <w:numFmt w:val="decimal"/>
      <w:lvlText w:val="%6."/>
      <w:lvlJc w:val="left"/>
      <w:pPr>
        <w:tabs>
          <w:tab w:val="num" w:pos="4320"/>
        </w:tabs>
        <w:ind w:left="4320" w:hanging="360"/>
      </w:pPr>
    </w:lvl>
    <w:lvl w:ilvl="6" w:tplc="481E16DC" w:tentative="1">
      <w:start w:val="1"/>
      <w:numFmt w:val="decimal"/>
      <w:lvlText w:val="%7."/>
      <w:lvlJc w:val="left"/>
      <w:pPr>
        <w:tabs>
          <w:tab w:val="num" w:pos="5040"/>
        </w:tabs>
        <w:ind w:left="5040" w:hanging="360"/>
      </w:pPr>
    </w:lvl>
    <w:lvl w:ilvl="7" w:tplc="6D1C353C" w:tentative="1">
      <w:start w:val="1"/>
      <w:numFmt w:val="decimal"/>
      <w:lvlText w:val="%8."/>
      <w:lvlJc w:val="left"/>
      <w:pPr>
        <w:tabs>
          <w:tab w:val="num" w:pos="5760"/>
        </w:tabs>
        <w:ind w:left="5760" w:hanging="360"/>
      </w:pPr>
    </w:lvl>
    <w:lvl w:ilvl="8" w:tplc="C598EA94" w:tentative="1">
      <w:start w:val="1"/>
      <w:numFmt w:val="decimal"/>
      <w:lvlText w:val="%9."/>
      <w:lvlJc w:val="left"/>
      <w:pPr>
        <w:tabs>
          <w:tab w:val="num" w:pos="6480"/>
        </w:tabs>
        <w:ind w:left="6480" w:hanging="360"/>
      </w:pPr>
    </w:lvl>
  </w:abstractNum>
  <w:abstractNum w:abstractNumId="14">
    <w:nsid w:val="44EF385F"/>
    <w:multiLevelType w:val="singleLevel"/>
    <w:tmpl w:val="E0B28FBE"/>
    <w:lvl w:ilvl="0">
      <w:start w:val="1"/>
      <w:numFmt w:val="decimal"/>
      <w:lvlRestart w:val="0"/>
      <w:pStyle w:val="ListNumbered1"/>
      <w:lvlText w:val="%1."/>
      <w:legacy w:legacy="1" w:legacySpace="0" w:legacyIndent="432"/>
      <w:lvlJc w:val="left"/>
      <w:pPr>
        <w:ind w:left="432" w:hanging="432"/>
      </w:pPr>
    </w:lvl>
  </w:abstractNum>
  <w:abstractNum w:abstractNumId="15">
    <w:nsid w:val="566E6F27"/>
    <w:multiLevelType w:val="hybridMultilevel"/>
    <w:tmpl w:val="F154CB58"/>
    <w:lvl w:ilvl="0" w:tplc="A5A4ED14">
      <w:start w:val="1"/>
      <w:numFmt w:val="bullet"/>
      <w:lvlText w:val="•"/>
      <w:lvlJc w:val="left"/>
      <w:pPr>
        <w:tabs>
          <w:tab w:val="num" w:pos="720"/>
        </w:tabs>
        <w:ind w:left="720" w:hanging="360"/>
      </w:pPr>
      <w:rPr>
        <w:rFonts w:ascii="Times" w:hAnsi="Times" w:hint="default"/>
      </w:rPr>
    </w:lvl>
    <w:lvl w:ilvl="1" w:tplc="C34A6DC4">
      <w:start w:val="1"/>
      <w:numFmt w:val="bullet"/>
      <w:lvlText w:val="•"/>
      <w:lvlJc w:val="left"/>
      <w:pPr>
        <w:tabs>
          <w:tab w:val="num" w:pos="1440"/>
        </w:tabs>
        <w:ind w:left="1440" w:hanging="360"/>
      </w:pPr>
      <w:rPr>
        <w:rFonts w:ascii="Times" w:hAnsi="Times" w:hint="default"/>
      </w:rPr>
    </w:lvl>
    <w:lvl w:ilvl="2" w:tplc="8AEE60E0" w:tentative="1">
      <w:start w:val="1"/>
      <w:numFmt w:val="bullet"/>
      <w:lvlText w:val="•"/>
      <w:lvlJc w:val="left"/>
      <w:pPr>
        <w:tabs>
          <w:tab w:val="num" w:pos="2160"/>
        </w:tabs>
        <w:ind w:left="2160" w:hanging="360"/>
      </w:pPr>
      <w:rPr>
        <w:rFonts w:ascii="Times" w:hAnsi="Times" w:hint="default"/>
      </w:rPr>
    </w:lvl>
    <w:lvl w:ilvl="3" w:tplc="DE62D1AE" w:tentative="1">
      <w:start w:val="1"/>
      <w:numFmt w:val="bullet"/>
      <w:lvlText w:val="•"/>
      <w:lvlJc w:val="left"/>
      <w:pPr>
        <w:tabs>
          <w:tab w:val="num" w:pos="2880"/>
        </w:tabs>
        <w:ind w:left="2880" w:hanging="360"/>
      </w:pPr>
      <w:rPr>
        <w:rFonts w:ascii="Times" w:hAnsi="Times" w:hint="default"/>
      </w:rPr>
    </w:lvl>
    <w:lvl w:ilvl="4" w:tplc="8C1EFFAE" w:tentative="1">
      <w:start w:val="1"/>
      <w:numFmt w:val="bullet"/>
      <w:lvlText w:val="•"/>
      <w:lvlJc w:val="left"/>
      <w:pPr>
        <w:tabs>
          <w:tab w:val="num" w:pos="3600"/>
        </w:tabs>
        <w:ind w:left="3600" w:hanging="360"/>
      </w:pPr>
      <w:rPr>
        <w:rFonts w:ascii="Times" w:hAnsi="Times" w:hint="default"/>
      </w:rPr>
    </w:lvl>
    <w:lvl w:ilvl="5" w:tplc="60A6188E" w:tentative="1">
      <w:start w:val="1"/>
      <w:numFmt w:val="bullet"/>
      <w:lvlText w:val="•"/>
      <w:lvlJc w:val="left"/>
      <w:pPr>
        <w:tabs>
          <w:tab w:val="num" w:pos="4320"/>
        </w:tabs>
        <w:ind w:left="4320" w:hanging="360"/>
      </w:pPr>
      <w:rPr>
        <w:rFonts w:ascii="Times" w:hAnsi="Times" w:hint="default"/>
      </w:rPr>
    </w:lvl>
    <w:lvl w:ilvl="6" w:tplc="72F489A8" w:tentative="1">
      <w:start w:val="1"/>
      <w:numFmt w:val="bullet"/>
      <w:lvlText w:val="•"/>
      <w:lvlJc w:val="left"/>
      <w:pPr>
        <w:tabs>
          <w:tab w:val="num" w:pos="5040"/>
        </w:tabs>
        <w:ind w:left="5040" w:hanging="360"/>
      </w:pPr>
      <w:rPr>
        <w:rFonts w:ascii="Times" w:hAnsi="Times" w:hint="default"/>
      </w:rPr>
    </w:lvl>
    <w:lvl w:ilvl="7" w:tplc="86ACF230" w:tentative="1">
      <w:start w:val="1"/>
      <w:numFmt w:val="bullet"/>
      <w:lvlText w:val="•"/>
      <w:lvlJc w:val="left"/>
      <w:pPr>
        <w:tabs>
          <w:tab w:val="num" w:pos="5760"/>
        </w:tabs>
        <w:ind w:left="5760" w:hanging="360"/>
      </w:pPr>
      <w:rPr>
        <w:rFonts w:ascii="Times" w:hAnsi="Times" w:hint="default"/>
      </w:rPr>
    </w:lvl>
    <w:lvl w:ilvl="8" w:tplc="B9B27966" w:tentative="1">
      <w:start w:val="1"/>
      <w:numFmt w:val="bullet"/>
      <w:lvlText w:val="•"/>
      <w:lvlJc w:val="left"/>
      <w:pPr>
        <w:tabs>
          <w:tab w:val="num" w:pos="6480"/>
        </w:tabs>
        <w:ind w:left="6480" w:hanging="360"/>
      </w:pPr>
      <w:rPr>
        <w:rFonts w:ascii="Times" w:hAnsi="Times" w:hint="default"/>
      </w:rPr>
    </w:lvl>
  </w:abstractNum>
  <w:abstractNum w:abstractNumId="16">
    <w:nsid w:val="5A926986"/>
    <w:multiLevelType w:val="hybridMultilevel"/>
    <w:tmpl w:val="A2E23046"/>
    <w:lvl w:ilvl="0" w:tplc="A78C34CE">
      <w:start w:val="1"/>
      <w:numFmt w:val="decimal"/>
      <w:lvlRestart w:val="0"/>
      <w:lvlText w:val="%1."/>
      <w:legacy w:legacy="1" w:legacySpace="0" w:legacyIndent="432"/>
      <w:lvlJc w:val="left"/>
      <w:pPr>
        <w:ind w:left="432" w:hanging="432"/>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ACA4C97"/>
    <w:multiLevelType w:val="multilevel"/>
    <w:tmpl w:val="2242B7B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2826"/>
        </w:tabs>
        <w:ind w:left="2826" w:hanging="576"/>
      </w:pPr>
    </w:lvl>
    <w:lvl w:ilvl="2">
      <w:start w:val="1"/>
      <w:numFmt w:val="decimal"/>
      <w:pStyle w:val="Heading3"/>
      <w:lvlText w:val="%1.%2.%3"/>
      <w:lvlJc w:val="left"/>
      <w:pPr>
        <w:tabs>
          <w:tab w:val="num" w:pos="1170"/>
        </w:tabs>
        <w:ind w:left="117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8">
    <w:nsid w:val="5E2570B4"/>
    <w:multiLevelType w:val="multilevel"/>
    <w:tmpl w:val="F7B47B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61350A22"/>
    <w:multiLevelType w:val="singleLevel"/>
    <w:tmpl w:val="3014BBD6"/>
    <w:lvl w:ilvl="0">
      <w:start w:val="1"/>
      <w:numFmt w:val="decimal"/>
      <w:lvlText w:val="%1."/>
      <w:legacy w:legacy="1" w:legacySpace="0" w:legacyIndent="432"/>
      <w:lvlJc w:val="left"/>
      <w:pPr>
        <w:ind w:left="432" w:hanging="432"/>
      </w:pPr>
    </w:lvl>
  </w:abstractNum>
  <w:abstractNum w:abstractNumId="20">
    <w:nsid w:val="62F10239"/>
    <w:multiLevelType w:val="singleLevel"/>
    <w:tmpl w:val="C3EA693E"/>
    <w:lvl w:ilvl="0">
      <w:start w:val="1"/>
      <w:numFmt w:val="bullet"/>
      <w:pStyle w:val="ListBulleted2"/>
      <w:lvlText w:val=""/>
      <w:lvlJc w:val="left"/>
      <w:pPr>
        <w:tabs>
          <w:tab w:val="num" w:pos="792"/>
        </w:tabs>
        <w:ind w:left="792" w:hanging="360"/>
      </w:pPr>
      <w:rPr>
        <w:rFonts w:ascii="Symbol" w:hAnsi="Symbol" w:hint="default"/>
        <w:sz w:val="16"/>
        <w:szCs w:val="16"/>
      </w:rPr>
    </w:lvl>
  </w:abstractNum>
  <w:abstractNum w:abstractNumId="21">
    <w:nsid w:val="6EB27D3E"/>
    <w:multiLevelType w:val="singleLevel"/>
    <w:tmpl w:val="64D4AB14"/>
    <w:lvl w:ilvl="0">
      <w:start w:val="1"/>
      <w:numFmt w:val="lowerLetter"/>
      <w:pStyle w:val="ListNumbered2"/>
      <w:lvlText w:val="%1."/>
      <w:legacy w:legacy="1" w:legacySpace="0" w:legacyIndent="432"/>
      <w:lvlJc w:val="left"/>
      <w:pPr>
        <w:ind w:left="864" w:hanging="432"/>
      </w:pPr>
    </w:lvl>
  </w:abstractNum>
  <w:abstractNum w:abstractNumId="22">
    <w:nsid w:val="79144E34"/>
    <w:multiLevelType w:val="singleLevel"/>
    <w:tmpl w:val="A78C34CE"/>
    <w:lvl w:ilvl="0">
      <w:start w:val="1"/>
      <w:numFmt w:val="decimal"/>
      <w:lvlRestart w:val="0"/>
      <w:lvlText w:val="%1."/>
      <w:legacy w:legacy="1" w:legacySpace="0" w:legacyIndent="432"/>
      <w:lvlJc w:val="left"/>
      <w:pPr>
        <w:ind w:left="864" w:hanging="432"/>
      </w:pPr>
    </w:lvl>
  </w:abstractNum>
  <w:num w:numId="1">
    <w:abstractNumId w:val="17"/>
  </w:num>
  <w:num w:numId="2">
    <w:abstractNumId w:val="10"/>
  </w:num>
  <w:num w:numId="3">
    <w:abstractNumId w:val="20"/>
  </w:num>
  <w:num w:numId="4">
    <w:abstractNumId w:val="14"/>
  </w:num>
  <w:num w:numId="5">
    <w:abstractNumId w:val="19"/>
  </w:num>
  <w:num w:numId="6">
    <w:abstractNumId w:val="12"/>
  </w:num>
  <w:num w:numId="7">
    <w:abstractNumId w:val="21"/>
  </w:num>
  <w:num w:numId="8">
    <w:abstractNumId w:val="14"/>
    <w:lvlOverride w:ilvl="0">
      <w:startOverride w:val="1"/>
    </w:lvlOverride>
  </w:num>
  <w:num w:numId="9">
    <w:abstractNumId w:val="14"/>
    <w:lvlOverride w:ilvl="0">
      <w:startOverride w:val="1"/>
    </w:lvlOverride>
  </w:num>
  <w:num w:numId="10">
    <w:abstractNumId w:val="22"/>
    <w:lvlOverride w:ilvl="0">
      <w:startOverride w:val="1"/>
    </w:lvlOverride>
  </w:num>
  <w:num w:numId="11">
    <w:abstractNumId w:val="9"/>
  </w:num>
  <w:num w:numId="12">
    <w:abstractNumId w:val="16"/>
  </w:num>
  <w:num w:numId="13">
    <w:abstractNumId w:val="14"/>
    <w:lvlOverride w:ilvl="0">
      <w:startOverride w:val="1"/>
    </w:lvlOverride>
  </w:num>
  <w:num w:numId="14">
    <w:abstractNumId w:val="8"/>
  </w:num>
  <w:num w:numId="15">
    <w:abstractNumId w:val="2"/>
  </w:num>
  <w:num w:numId="16">
    <w:abstractNumId w:val="7"/>
  </w:num>
  <w:num w:numId="17">
    <w:abstractNumId w:val="6"/>
  </w:num>
  <w:num w:numId="18">
    <w:abstractNumId w:val="5"/>
  </w:num>
  <w:num w:numId="19">
    <w:abstractNumId w:val="4"/>
  </w:num>
  <w:num w:numId="20">
    <w:abstractNumId w:val="3"/>
  </w:num>
  <w:num w:numId="21">
    <w:abstractNumId w:val="1"/>
  </w:num>
  <w:num w:numId="22">
    <w:abstractNumId w:val="0"/>
  </w:num>
  <w:num w:numId="23">
    <w:abstractNumId w:val="14"/>
    <w:lvlOverride w:ilvl="0">
      <w:startOverride w:val="1"/>
    </w:lvlOverride>
  </w:num>
  <w:num w:numId="24">
    <w:abstractNumId w:val="14"/>
    <w:lvlOverride w:ilvl="0">
      <w:startOverride w:val="1"/>
    </w:lvlOverride>
  </w:num>
  <w:num w:numId="25">
    <w:abstractNumId w:val="21"/>
    <w:lvlOverride w:ilvl="0">
      <w:startOverride w:val="1"/>
    </w:lvlOverride>
  </w:num>
  <w:num w:numId="26">
    <w:abstractNumId w:val="11"/>
  </w:num>
  <w:num w:numId="27">
    <w:abstractNumId w:val="14"/>
    <w:lvlOverride w:ilvl="0">
      <w:startOverride w:val="1"/>
    </w:lvlOverride>
  </w:num>
  <w:num w:numId="28">
    <w:abstractNumId w:val="22"/>
  </w:num>
  <w:num w:numId="29">
    <w:abstractNumId w:val="18"/>
  </w:num>
  <w:num w:numId="30">
    <w:abstractNumId w:val="14"/>
    <w:lvlOverride w:ilvl="0">
      <w:startOverride w:val="1"/>
    </w:lvlOverride>
  </w:num>
  <w:num w:numId="31">
    <w:abstractNumId w:val="15"/>
  </w:num>
  <w:num w:numId="32">
    <w:abstractNumId w:val="1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DateAndTime/>
  <w:activeWritingStyle w:appName="MSWord" w:lang="en-US" w:vendorID="64" w:dllVersion="131078"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consecutiveHyphenLimit w:val="3"/>
  <w:doNotHyphenateCap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00DF"/>
    <w:rsid w:val="00000CEC"/>
    <w:rsid w:val="00001FBE"/>
    <w:rsid w:val="0000370E"/>
    <w:rsid w:val="00003DB0"/>
    <w:rsid w:val="0001119C"/>
    <w:rsid w:val="00011B6B"/>
    <w:rsid w:val="00014388"/>
    <w:rsid w:val="00015EE4"/>
    <w:rsid w:val="000160E8"/>
    <w:rsid w:val="000258D6"/>
    <w:rsid w:val="00025B6D"/>
    <w:rsid w:val="00026FF3"/>
    <w:rsid w:val="00032AD3"/>
    <w:rsid w:val="00033435"/>
    <w:rsid w:val="00042887"/>
    <w:rsid w:val="000434BF"/>
    <w:rsid w:val="00045740"/>
    <w:rsid w:val="00046F1D"/>
    <w:rsid w:val="00050986"/>
    <w:rsid w:val="00054AE8"/>
    <w:rsid w:val="00056813"/>
    <w:rsid w:val="00060E5D"/>
    <w:rsid w:val="0006136A"/>
    <w:rsid w:val="00062085"/>
    <w:rsid w:val="00064CA6"/>
    <w:rsid w:val="00074C17"/>
    <w:rsid w:val="000756B8"/>
    <w:rsid w:val="000759E5"/>
    <w:rsid w:val="000776E3"/>
    <w:rsid w:val="00077E00"/>
    <w:rsid w:val="00083ED3"/>
    <w:rsid w:val="0008627F"/>
    <w:rsid w:val="00086F77"/>
    <w:rsid w:val="000903AC"/>
    <w:rsid w:val="00090D02"/>
    <w:rsid w:val="00092022"/>
    <w:rsid w:val="00095F53"/>
    <w:rsid w:val="000976BE"/>
    <w:rsid w:val="000A197B"/>
    <w:rsid w:val="000A211D"/>
    <w:rsid w:val="000A42A1"/>
    <w:rsid w:val="000A46FF"/>
    <w:rsid w:val="000A4BAC"/>
    <w:rsid w:val="000A4F9A"/>
    <w:rsid w:val="000B0EBB"/>
    <w:rsid w:val="000B3250"/>
    <w:rsid w:val="000B5B99"/>
    <w:rsid w:val="000B6A82"/>
    <w:rsid w:val="000B7096"/>
    <w:rsid w:val="000B75B8"/>
    <w:rsid w:val="000B768A"/>
    <w:rsid w:val="000C2196"/>
    <w:rsid w:val="000C30B5"/>
    <w:rsid w:val="000D0623"/>
    <w:rsid w:val="000D115E"/>
    <w:rsid w:val="000D151E"/>
    <w:rsid w:val="000D3AA9"/>
    <w:rsid w:val="000D77E9"/>
    <w:rsid w:val="000E02BA"/>
    <w:rsid w:val="000E150A"/>
    <w:rsid w:val="000E22D7"/>
    <w:rsid w:val="000E3681"/>
    <w:rsid w:val="000F2189"/>
    <w:rsid w:val="000F7830"/>
    <w:rsid w:val="001037C9"/>
    <w:rsid w:val="0010526F"/>
    <w:rsid w:val="0010685A"/>
    <w:rsid w:val="001155B4"/>
    <w:rsid w:val="001169A1"/>
    <w:rsid w:val="00122CF1"/>
    <w:rsid w:val="001307B9"/>
    <w:rsid w:val="001330D7"/>
    <w:rsid w:val="0013432F"/>
    <w:rsid w:val="00134C56"/>
    <w:rsid w:val="00135344"/>
    <w:rsid w:val="00136DCC"/>
    <w:rsid w:val="001425B6"/>
    <w:rsid w:val="00143EBB"/>
    <w:rsid w:val="00146C22"/>
    <w:rsid w:val="00147F35"/>
    <w:rsid w:val="00150453"/>
    <w:rsid w:val="00150CDF"/>
    <w:rsid w:val="0015325B"/>
    <w:rsid w:val="00153823"/>
    <w:rsid w:val="001560A3"/>
    <w:rsid w:val="00156506"/>
    <w:rsid w:val="00157CE2"/>
    <w:rsid w:val="00167CB5"/>
    <w:rsid w:val="0017028C"/>
    <w:rsid w:val="00171D28"/>
    <w:rsid w:val="00173CA5"/>
    <w:rsid w:val="00176857"/>
    <w:rsid w:val="00181C11"/>
    <w:rsid w:val="0018200F"/>
    <w:rsid w:val="00185985"/>
    <w:rsid w:val="00185DD5"/>
    <w:rsid w:val="00190306"/>
    <w:rsid w:val="00191FB4"/>
    <w:rsid w:val="001923B3"/>
    <w:rsid w:val="0019413F"/>
    <w:rsid w:val="00195C50"/>
    <w:rsid w:val="00196FF6"/>
    <w:rsid w:val="001975D5"/>
    <w:rsid w:val="00197E33"/>
    <w:rsid w:val="001A06FE"/>
    <w:rsid w:val="001A2F63"/>
    <w:rsid w:val="001A3B2F"/>
    <w:rsid w:val="001A49D0"/>
    <w:rsid w:val="001A4CFE"/>
    <w:rsid w:val="001A6E0B"/>
    <w:rsid w:val="001B1B0B"/>
    <w:rsid w:val="001B2F73"/>
    <w:rsid w:val="001B41BC"/>
    <w:rsid w:val="001C25A1"/>
    <w:rsid w:val="001C3546"/>
    <w:rsid w:val="001C4EEA"/>
    <w:rsid w:val="001C64D8"/>
    <w:rsid w:val="001D2119"/>
    <w:rsid w:val="001D5795"/>
    <w:rsid w:val="001D774C"/>
    <w:rsid w:val="001D78C4"/>
    <w:rsid w:val="001D7D81"/>
    <w:rsid w:val="001E0A8D"/>
    <w:rsid w:val="001F4139"/>
    <w:rsid w:val="001F5AE6"/>
    <w:rsid w:val="002002FA"/>
    <w:rsid w:val="00200C91"/>
    <w:rsid w:val="00202762"/>
    <w:rsid w:val="00204701"/>
    <w:rsid w:val="0020512E"/>
    <w:rsid w:val="00206DD7"/>
    <w:rsid w:val="00207375"/>
    <w:rsid w:val="0021082E"/>
    <w:rsid w:val="00212C53"/>
    <w:rsid w:val="00215C96"/>
    <w:rsid w:val="0021633E"/>
    <w:rsid w:val="00220DF6"/>
    <w:rsid w:val="00223E4B"/>
    <w:rsid w:val="00225645"/>
    <w:rsid w:val="002273A4"/>
    <w:rsid w:val="00233192"/>
    <w:rsid w:val="00242807"/>
    <w:rsid w:val="00250459"/>
    <w:rsid w:val="00250DFF"/>
    <w:rsid w:val="00250E64"/>
    <w:rsid w:val="002529D7"/>
    <w:rsid w:val="00253EED"/>
    <w:rsid w:val="0025621A"/>
    <w:rsid w:val="002576A8"/>
    <w:rsid w:val="00260E92"/>
    <w:rsid w:val="00266EAD"/>
    <w:rsid w:val="002725DA"/>
    <w:rsid w:val="00282EAD"/>
    <w:rsid w:val="002833BA"/>
    <w:rsid w:val="00283C08"/>
    <w:rsid w:val="002855EB"/>
    <w:rsid w:val="00287ADC"/>
    <w:rsid w:val="002919AD"/>
    <w:rsid w:val="0029337D"/>
    <w:rsid w:val="002933BD"/>
    <w:rsid w:val="002A1D04"/>
    <w:rsid w:val="002A2230"/>
    <w:rsid w:val="002A2340"/>
    <w:rsid w:val="002B58DB"/>
    <w:rsid w:val="002B7255"/>
    <w:rsid w:val="002B7CF3"/>
    <w:rsid w:val="002C3AE9"/>
    <w:rsid w:val="002C4B60"/>
    <w:rsid w:val="002D3B81"/>
    <w:rsid w:val="002D65FD"/>
    <w:rsid w:val="002D7E09"/>
    <w:rsid w:val="002E1CEC"/>
    <w:rsid w:val="002E40B4"/>
    <w:rsid w:val="002E7F2E"/>
    <w:rsid w:val="002F47E8"/>
    <w:rsid w:val="002F78E7"/>
    <w:rsid w:val="003008E3"/>
    <w:rsid w:val="003015D5"/>
    <w:rsid w:val="003032DE"/>
    <w:rsid w:val="003109DA"/>
    <w:rsid w:val="00311D1D"/>
    <w:rsid w:val="00323083"/>
    <w:rsid w:val="00324CD1"/>
    <w:rsid w:val="00326AA7"/>
    <w:rsid w:val="00327151"/>
    <w:rsid w:val="0032754B"/>
    <w:rsid w:val="003305BA"/>
    <w:rsid w:val="0033126F"/>
    <w:rsid w:val="003324ED"/>
    <w:rsid w:val="003371F4"/>
    <w:rsid w:val="003425D6"/>
    <w:rsid w:val="003477BC"/>
    <w:rsid w:val="00347FD5"/>
    <w:rsid w:val="003512BB"/>
    <w:rsid w:val="0035233B"/>
    <w:rsid w:val="00352D67"/>
    <w:rsid w:val="003550A7"/>
    <w:rsid w:val="00355796"/>
    <w:rsid w:val="00361FAD"/>
    <w:rsid w:val="00362097"/>
    <w:rsid w:val="00362954"/>
    <w:rsid w:val="00363EA8"/>
    <w:rsid w:val="00365541"/>
    <w:rsid w:val="0036651F"/>
    <w:rsid w:val="003722D0"/>
    <w:rsid w:val="00372713"/>
    <w:rsid w:val="00372BFE"/>
    <w:rsid w:val="00374A1E"/>
    <w:rsid w:val="00375DFD"/>
    <w:rsid w:val="003778B0"/>
    <w:rsid w:val="0038205A"/>
    <w:rsid w:val="003950BB"/>
    <w:rsid w:val="0039624F"/>
    <w:rsid w:val="00396558"/>
    <w:rsid w:val="00397CED"/>
    <w:rsid w:val="003A2D09"/>
    <w:rsid w:val="003B0E71"/>
    <w:rsid w:val="003B4469"/>
    <w:rsid w:val="003B5743"/>
    <w:rsid w:val="003C1CD4"/>
    <w:rsid w:val="003C6D1C"/>
    <w:rsid w:val="003D0330"/>
    <w:rsid w:val="003D0F32"/>
    <w:rsid w:val="003D3953"/>
    <w:rsid w:val="003D6CEA"/>
    <w:rsid w:val="003D7909"/>
    <w:rsid w:val="003D7F74"/>
    <w:rsid w:val="003E227C"/>
    <w:rsid w:val="003E2C49"/>
    <w:rsid w:val="003E5336"/>
    <w:rsid w:val="003F0020"/>
    <w:rsid w:val="003F0EF0"/>
    <w:rsid w:val="003F15D8"/>
    <w:rsid w:val="003F1B4C"/>
    <w:rsid w:val="003F35B0"/>
    <w:rsid w:val="003F4778"/>
    <w:rsid w:val="003F4C0B"/>
    <w:rsid w:val="003F52E5"/>
    <w:rsid w:val="0040062D"/>
    <w:rsid w:val="004011DA"/>
    <w:rsid w:val="004022CD"/>
    <w:rsid w:val="004064A0"/>
    <w:rsid w:val="00410EF1"/>
    <w:rsid w:val="00411B7D"/>
    <w:rsid w:val="004129A1"/>
    <w:rsid w:val="00413A40"/>
    <w:rsid w:val="0041424B"/>
    <w:rsid w:val="00417737"/>
    <w:rsid w:val="00423078"/>
    <w:rsid w:val="00423C8B"/>
    <w:rsid w:val="004251FB"/>
    <w:rsid w:val="00425360"/>
    <w:rsid w:val="00425BA5"/>
    <w:rsid w:val="00426F7C"/>
    <w:rsid w:val="004275C6"/>
    <w:rsid w:val="00431457"/>
    <w:rsid w:val="0043154B"/>
    <w:rsid w:val="00431E89"/>
    <w:rsid w:val="00432DE0"/>
    <w:rsid w:val="00437A74"/>
    <w:rsid w:val="00441CF6"/>
    <w:rsid w:val="00441F4B"/>
    <w:rsid w:val="00442508"/>
    <w:rsid w:val="004443FE"/>
    <w:rsid w:val="0045072B"/>
    <w:rsid w:val="0045144A"/>
    <w:rsid w:val="00453C9E"/>
    <w:rsid w:val="00457329"/>
    <w:rsid w:val="004601FF"/>
    <w:rsid w:val="00462B11"/>
    <w:rsid w:val="00463877"/>
    <w:rsid w:val="00463F8C"/>
    <w:rsid w:val="0046508A"/>
    <w:rsid w:val="0047331D"/>
    <w:rsid w:val="00484218"/>
    <w:rsid w:val="00486557"/>
    <w:rsid w:val="0048737A"/>
    <w:rsid w:val="00487D43"/>
    <w:rsid w:val="00492E2F"/>
    <w:rsid w:val="00494211"/>
    <w:rsid w:val="00494322"/>
    <w:rsid w:val="004964F6"/>
    <w:rsid w:val="00497008"/>
    <w:rsid w:val="004A020C"/>
    <w:rsid w:val="004A1D8D"/>
    <w:rsid w:val="004A2403"/>
    <w:rsid w:val="004A2528"/>
    <w:rsid w:val="004A3A63"/>
    <w:rsid w:val="004A542A"/>
    <w:rsid w:val="004B7061"/>
    <w:rsid w:val="004B79B5"/>
    <w:rsid w:val="004C586D"/>
    <w:rsid w:val="004C7E28"/>
    <w:rsid w:val="004D3CBB"/>
    <w:rsid w:val="004D75ED"/>
    <w:rsid w:val="004E30A7"/>
    <w:rsid w:val="004E3CF3"/>
    <w:rsid w:val="004E43D9"/>
    <w:rsid w:val="004E4D28"/>
    <w:rsid w:val="004E639D"/>
    <w:rsid w:val="004E717A"/>
    <w:rsid w:val="004F1321"/>
    <w:rsid w:val="004F22A6"/>
    <w:rsid w:val="004F53AF"/>
    <w:rsid w:val="00500B4F"/>
    <w:rsid w:val="00512774"/>
    <w:rsid w:val="005164A2"/>
    <w:rsid w:val="00516971"/>
    <w:rsid w:val="00517EF5"/>
    <w:rsid w:val="00520DFA"/>
    <w:rsid w:val="00522655"/>
    <w:rsid w:val="005248F6"/>
    <w:rsid w:val="005265D1"/>
    <w:rsid w:val="00526B06"/>
    <w:rsid w:val="00527A37"/>
    <w:rsid w:val="005307D4"/>
    <w:rsid w:val="00530D22"/>
    <w:rsid w:val="00535FB1"/>
    <w:rsid w:val="00536941"/>
    <w:rsid w:val="005475E5"/>
    <w:rsid w:val="00552309"/>
    <w:rsid w:val="00552CBF"/>
    <w:rsid w:val="00553AFE"/>
    <w:rsid w:val="005569B5"/>
    <w:rsid w:val="00556B55"/>
    <w:rsid w:val="00556D3E"/>
    <w:rsid w:val="005574AF"/>
    <w:rsid w:val="00557746"/>
    <w:rsid w:val="005634C5"/>
    <w:rsid w:val="00567B8D"/>
    <w:rsid w:val="00570D20"/>
    <w:rsid w:val="00573851"/>
    <w:rsid w:val="00573D84"/>
    <w:rsid w:val="0057725D"/>
    <w:rsid w:val="00582894"/>
    <w:rsid w:val="005915C3"/>
    <w:rsid w:val="0059742D"/>
    <w:rsid w:val="0059760F"/>
    <w:rsid w:val="005A503E"/>
    <w:rsid w:val="005A78B3"/>
    <w:rsid w:val="005B1172"/>
    <w:rsid w:val="005B179B"/>
    <w:rsid w:val="005B2280"/>
    <w:rsid w:val="005B297F"/>
    <w:rsid w:val="005B2F44"/>
    <w:rsid w:val="005B400E"/>
    <w:rsid w:val="005B476E"/>
    <w:rsid w:val="005B7B44"/>
    <w:rsid w:val="005C13BE"/>
    <w:rsid w:val="005C1656"/>
    <w:rsid w:val="005C27D1"/>
    <w:rsid w:val="005D2224"/>
    <w:rsid w:val="005D31FA"/>
    <w:rsid w:val="005D5509"/>
    <w:rsid w:val="005D7D88"/>
    <w:rsid w:val="005E6EF1"/>
    <w:rsid w:val="005E70AC"/>
    <w:rsid w:val="005F3504"/>
    <w:rsid w:val="005F38F6"/>
    <w:rsid w:val="005F6476"/>
    <w:rsid w:val="006015F2"/>
    <w:rsid w:val="00603B36"/>
    <w:rsid w:val="00605A64"/>
    <w:rsid w:val="00606083"/>
    <w:rsid w:val="0061023D"/>
    <w:rsid w:val="0061036A"/>
    <w:rsid w:val="00612C79"/>
    <w:rsid w:val="00613BCA"/>
    <w:rsid w:val="00614503"/>
    <w:rsid w:val="00616A8B"/>
    <w:rsid w:val="00621E1B"/>
    <w:rsid w:val="00623A31"/>
    <w:rsid w:val="00630A1C"/>
    <w:rsid w:val="00641A20"/>
    <w:rsid w:val="0064281F"/>
    <w:rsid w:val="00643E6C"/>
    <w:rsid w:val="0064585F"/>
    <w:rsid w:val="006460FA"/>
    <w:rsid w:val="006540A1"/>
    <w:rsid w:val="00654596"/>
    <w:rsid w:val="006565B0"/>
    <w:rsid w:val="00656A57"/>
    <w:rsid w:val="006606DA"/>
    <w:rsid w:val="00662949"/>
    <w:rsid w:val="00664137"/>
    <w:rsid w:val="00672535"/>
    <w:rsid w:val="00673459"/>
    <w:rsid w:val="00673877"/>
    <w:rsid w:val="00680CAC"/>
    <w:rsid w:val="00685423"/>
    <w:rsid w:val="00685C1D"/>
    <w:rsid w:val="00693029"/>
    <w:rsid w:val="00693D2E"/>
    <w:rsid w:val="006A0D91"/>
    <w:rsid w:val="006A1CE1"/>
    <w:rsid w:val="006A3B81"/>
    <w:rsid w:val="006A5468"/>
    <w:rsid w:val="006B050C"/>
    <w:rsid w:val="006B2CC3"/>
    <w:rsid w:val="006B427C"/>
    <w:rsid w:val="006B4B9A"/>
    <w:rsid w:val="006C5623"/>
    <w:rsid w:val="006D3A4D"/>
    <w:rsid w:val="006D4B75"/>
    <w:rsid w:val="006D4E93"/>
    <w:rsid w:val="006E2671"/>
    <w:rsid w:val="006E3313"/>
    <w:rsid w:val="006E4822"/>
    <w:rsid w:val="006E491C"/>
    <w:rsid w:val="006E4C9D"/>
    <w:rsid w:val="006F0E09"/>
    <w:rsid w:val="006F11E1"/>
    <w:rsid w:val="006F2C9F"/>
    <w:rsid w:val="006F5562"/>
    <w:rsid w:val="006F68B1"/>
    <w:rsid w:val="0071209D"/>
    <w:rsid w:val="0071711F"/>
    <w:rsid w:val="0072310B"/>
    <w:rsid w:val="00725B27"/>
    <w:rsid w:val="0072758E"/>
    <w:rsid w:val="00730B41"/>
    <w:rsid w:val="00732F55"/>
    <w:rsid w:val="00733057"/>
    <w:rsid w:val="00746510"/>
    <w:rsid w:val="0074653C"/>
    <w:rsid w:val="00747D87"/>
    <w:rsid w:val="00752A52"/>
    <w:rsid w:val="007547B2"/>
    <w:rsid w:val="007558F3"/>
    <w:rsid w:val="00761444"/>
    <w:rsid w:val="00767D68"/>
    <w:rsid w:val="00772B93"/>
    <w:rsid w:val="007757F7"/>
    <w:rsid w:val="0077707C"/>
    <w:rsid w:val="00780E57"/>
    <w:rsid w:val="00781709"/>
    <w:rsid w:val="007819C0"/>
    <w:rsid w:val="007914BD"/>
    <w:rsid w:val="00791E1F"/>
    <w:rsid w:val="007923D6"/>
    <w:rsid w:val="00794313"/>
    <w:rsid w:val="007965FF"/>
    <w:rsid w:val="007A2C8E"/>
    <w:rsid w:val="007A3103"/>
    <w:rsid w:val="007A61AC"/>
    <w:rsid w:val="007A7235"/>
    <w:rsid w:val="007A7A34"/>
    <w:rsid w:val="007A7AEE"/>
    <w:rsid w:val="007A7B5F"/>
    <w:rsid w:val="007B4AC4"/>
    <w:rsid w:val="007B6524"/>
    <w:rsid w:val="007B6848"/>
    <w:rsid w:val="007B7016"/>
    <w:rsid w:val="007C02FF"/>
    <w:rsid w:val="007C0950"/>
    <w:rsid w:val="007C1270"/>
    <w:rsid w:val="007C278B"/>
    <w:rsid w:val="007C2C31"/>
    <w:rsid w:val="007C7688"/>
    <w:rsid w:val="007D01C8"/>
    <w:rsid w:val="007D57CF"/>
    <w:rsid w:val="007D5AA6"/>
    <w:rsid w:val="007E74FB"/>
    <w:rsid w:val="007F1C22"/>
    <w:rsid w:val="007F358A"/>
    <w:rsid w:val="007F5199"/>
    <w:rsid w:val="007F6613"/>
    <w:rsid w:val="008024FA"/>
    <w:rsid w:val="0080380A"/>
    <w:rsid w:val="00810A3C"/>
    <w:rsid w:val="00810ADF"/>
    <w:rsid w:val="00814CFE"/>
    <w:rsid w:val="0081723B"/>
    <w:rsid w:val="0082118C"/>
    <w:rsid w:val="00821255"/>
    <w:rsid w:val="00821B2D"/>
    <w:rsid w:val="008231C3"/>
    <w:rsid w:val="00824DD0"/>
    <w:rsid w:val="00826DAA"/>
    <w:rsid w:val="00830351"/>
    <w:rsid w:val="00835DE9"/>
    <w:rsid w:val="008406CC"/>
    <w:rsid w:val="0084144C"/>
    <w:rsid w:val="00841ADA"/>
    <w:rsid w:val="008433C6"/>
    <w:rsid w:val="0084794A"/>
    <w:rsid w:val="0085094C"/>
    <w:rsid w:val="00861B41"/>
    <w:rsid w:val="00861F49"/>
    <w:rsid w:val="00863609"/>
    <w:rsid w:val="00863E3E"/>
    <w:rsid w:val="00864E39"/>
    <w:rsid w:val="008657D2"/>
    <w:rsid w:val="0086605E"/>
    <w:rsid w:val="00867F12"/>
    <w:rsid w:val="008717CB"/>
    <w:rsid w:val="00871CD8"/>
    <w:rsid w:val="00876592"/>
    <w:rsid w:val="008805C1"/>
    <w:rsid w:val="00881563"/>
    <w:rsid w:val="00882AC3"/>
    <w:rsid w:val="00882EAF"/>
    <w:rsid w:val="0088428E"/>
    <w:rsid w:val="008917A5"/>
    <w:rsid w:val="008965EF"/>
    <w:rsid w:val="00897161"/>
    <w:rsid w:val="00897FD0"/>
    <w:rsid w:val="008A1BCE"/>
    <w:rsid w:val="008A461B"/>
    <w:rsid w:val="008A5030"/>
    <w:rsid w:val="008A523B"/>
    <w:rsid w:val="008A5712"/>
    <w:rsid w:val="008A6177"/>
    <w:rsid w:val="008A7F46"/>
    <w:rsid w:val="008B203A"/>
    <w:rsid w:val="008B37AD"/>
    <w:rsid w:val="008B5AD0"/>
    <w:rsid w:val="008B756A"/>
    <w:rsid w:val="008C17DB"/>
    <w:rsid w:val="008C476A"/>
    <w:rsid w:val="008C49C5"/>
    <w:rsid w:val="008D3CAC"/>
    <w:rsid w:val="008D4C82"/>
    <w:rsid w:val="008D5DFC"/>
    <w:rsid w:val="008E0E9A"/>
    <w:rsid w:val="008E24F2"/>
    <w:rsid w:val="008E4624"/>
    <w:rsid w:val="008E4692"/>
    <w:rsid w:val="008E5B5B"/>
    <w:rsid w:val="008F0FF1"/>
    <w:rsid w:val="008F1365"/>
    <w:rsid w:val="008F5CF4"/>
    <w:rsid w:val="009017B0"/>
    <w:rsid w:val="00903EF8"/>
    <w:rsid w:val="00906723"/>
    <w:rsid w:val="00907B0B"/>
    <w:rsid w:val="00911A31"/>
    <w:rsid w:val="00912360"/>
    <w:rsid w:val="00914F3E"/>
    <w:rsid w:val="00915E92"/>
    <w:rsid w:val="009202D2"/>
    <w:rsid w:val="0092332D"/>
    <w:rsid w:val="00924CF1"/>
    <w:rsid w:val="00925E76"/>
    <w:rsid w:val="00927C59"/>
    <w:rsid w:val="00927F38"/>
    <w:rsid w:val="009312B7"/>
    <w:rsid w:val="00931B3E"/>
    <w:rsid w:val="00933BF6"/>
    <w:rsid w:val="0093419D"/>
    <w:rsid w:val="0093661E"/>
    <w:rsid w:val="009372C5"/>
    <w:rsid w:val="009423B9"/>
    <w:rsid w:val="00942711"/>
    <w:rsid w:val="00946251"/>
    <w:rsid w:val="00946651"/>
    <w:rsid w:val="00953000"/>
    <w:rsid w:val="00955BC4"/>
    <w:rsid w:val="00956455"/>
    <w:rsid w:val="0096139D"/>
    <w:rsid w:val="00961861"/>
    <w:rsid w:val="00964831"/>
    <w:rsid w:val="00972D9C"/>
    <w:rsid w:val="00973264"/>
    <w:rsid w:val="009741C6"/>
    <w:rsid w:val="009745E9"/>
    <w:rsid w:val="00977615"/>
    <w:rsid w:val="009810C2"/>
    <w:rsid w:val="00981270"/>
    <w:rsid w:val="00987C3B"/>
    <w:rsid w:val="00996D0D"/>
    <w:rsid w:val="009977EC"/>
    <w:rsid w:val="00997FBA"/>
    <w:rsid w:val="009A1863"/>
    <w:rsid w:val="009A5FB9"/>
    <w:rsid w:val="009B1307"/>
    <w:rsid w:val="009B4B3A"/>
    <w:rsid w:val="009B60EA"/>
    <w:rsid w:val="009B665A"/>
    <w:rsid w:val="009B6ACE"/>
    <w:rsid w:val="009B6D1A"/>
    <w:rsid w:val="009B6FE7"/>
    <w:rsid w:val="009C0950"/>
    <w:rsid w:val="009C3B11"/>
    <w:rsid w:val="009C6933"/>
    <w:rsid w:val="009D2E00"/>
    <w:rsid w:val="009D6252"/>
    <w:rsid w:val="009E6A25"/>
    <w:rsid w:val="009E7407"/>
    <w:rsid w:val="009F1A26"/>
    <w:rsid w:val="009F23E3"/>
    <w:rsid w:val="009F3A92"/>
    <w:rsid w:val="009F420B"/>
    <w:rsid w:val="009F56AE"/>
    <w:rsid w:val="00A003BA"/>
    <w:rsid w:val="00A01547"/>
    <w:rsid w:val="00A01DCD"/>
    <w:rsid w:val="00A01F81"/>
    <w:rsid w:val="00A02C48"/>
    <w:rsid w:val="00A03A1E"/>
    <w:rsid w:val="00A05D4D"/>
    <w:rsid w:val="00A06ECC"/>
    <w:rsid w:val="00A10FAF"/>
    <w:rsid w:val="00A11C3C"/>
    <w:rsid w:val="00A165F3"/>
    <w:rsid w:val="00A16E48"/>
    <w:rsid w:val="00A20089"/>
    <w:rsid w:val="00A20FBA"/>
    <w:rsid w:val="00A23709"/>
    <w:rsid w:val="00A304D1"/>
    <w:rsid w:val="00A30817"/>
    <w:rsid w:val="00A31F36"/>
    <w:rsid w:val="00A33241"/>
    <w:rsid w:val="00A33386"/>
    <w:rsid w:val="00A34FAB"/>
    <w:rsid w:val="00A377BA"/>
    <w:rsid w:val="00A40AE9"/>
    <w:rsid w:val="00A419B8"/>
    <w:rsid w:val="00A41C51"/>
    <w:rsid w:val="00A4292E"/>
    <w:rsid w:val="00A508E9"/>
    <w:rsid w:val="00A52E97"/>
    <w:rsid w:val="00A53806"/>
    <w:rsid w:val="00A55921"/>
    <w:rsid w:val="00A602F3"/>
    <w:rsid w:val="00A6049C"/>
    <w:rsid w:val="00A62B1D"/>
    <w:rsid w:val="00A62C10"/>
    <w:rsid w:val="00A62C63"/>
    <w:rsid w:val="00A64A8E"/>
    <w:rsid w:val="00A678D3"/>
    <w:rsid w:val="00A7463F"/>
    <w:rsid w:val="00A75DB6"/>
    <w:rsid w:val="00A80722"/>
    <w:rsid w:val="00A81A1B"/>
    <w:rsid w:val="00A823FE"/>
    <w:rsid w:val="00A84F2F"/>
    <w:rsid w:val="00A87005"/>
    <w:rsid w:val="00A93150"/>
    <w:rsid w:val="00A937E7"/>
    <w:rsid w:val="00A93951"/>
    <w:rsid w:val="00A96A68"/>
    <w:rsid w:val="00AA1558"/>
    <w:rsid w:val="00AA3B30"/>
    <w:rsid w:val="00AA5D39"/>
    <w:rsid w:val="00AA717B"/>
    <w:rsid w:val="00AB0483"/>
    <w:rsid w:val="00AB1AC2"/>
    <w:rsid w:val="00AB41CD"/>
    <w:rsid w:val="00AB546A"/>
    <w:rsid w:val="00AB5A40"/>
    <w:rsid w:val="00AB792D"/>
    <w:rsid w:val="00AC56C8"/>
    <w:rsid w:val="00AD194B"/>
    <w:rsid w:val="00AD49B3"/>
    <w:rsid w:val="00AD4C10"/>
    <w:rsid w:val="00AD7A79"/>
    <w:rsid w:val="00AE4433"/>
    <w:rsid w:val="00AE4854"/>
    <w:rsid w:val="00AF02DA"/>
    <w:rsid w:val="00AF4419"/>
    <w:rsid w:val="00AF6C17"/>
    <w:rsid w:val="00B022EE"/>
    <w:rsid w:val="00B02E00"/>
    <w:rsid w:val="00B077F1"/>
    <w:rsid w:val="00B127F6"/>
    <w:rsid w:val="00B169E8"/>
    <w:rsid w:val="00B230A4"/>
    <w:rsid w:val="00B33E17"/>
    <w:rsid w:val="00B34029"/>
    <w:rsid w:val="00B344A5"/>
    <w:rsid w:val="00B424A4"/>
    <w:rsid w:val="00B435CE"/>
    <w:rsid w:val="00B45D19"/>
    <w:rsid w:val="00B50480"/>
    <w:rsid w:val="00B50EDF"/>
    <w:rsid w:val="00B52AE6"/>
    <w:rsid w:val="00B60F74"/>
    <w:rsid w:val="00B675C1"/>
    <w:rsid w:val="00B75892"/>
    <w:rsid w:val="00B76740"/>
    <w:rsid w:val="00B774ED"/>
    <w:rsid w:val="00B81382"/>
    <w:rsid w:val="00B94AAD"/>
    <w:rsid w:val="00B951E3"/>
    <w:rsid w:val="00B96435"/>
    <w:rsid w:val="00B96E25"/>
    <w:rsid w:val="00BA4171"/>
    <w:rsid w:val="00BA530F"/>
    <w:rsid w:val="00BA64A1"/>
    <w:rsid w:val="00BB0EE5"/>
    <w:rsid w:val="00BB1ED9"/>
    <w:rsid w:val="00BB238D"/>
    <w:rsid w:val="00BB7922"/>
    <w:rsid w:val="00BC0435"/>
    <w:rsid w:val="00BC4796"/>
    <w:rsid w:val="00BC608E"/>
    <w:rsid w:val="00BC762A"/>
    <w:rsid w:val="00BC7733"/>
    <w:rsid w:val="00BD3F93"/>
    <w:rsid w:val="00BD3FA5"/>
    <w:rsid w:val="00BD4690"/>
    <w:rsid w:val="00BD486D"/>
    <w:rsid w:val="00BD50C1"/>
    <w:rsid w:val="00BD7072"/>
    <w:rsid w:val="00BD70D0"/>
    <w:rsid w:val="00BD7A87"/>
    <w:rsid w:val="00BE136C"/>
    <w:rsid w:val="00BE7631"/>
    <w:rsid w:val="00BF3C30"/>
    <w:rsid w:val="00BF3D8C"/>
    <w:rsid w:val="00BF5313"/>
    <w:rsid w:val="00C062B4"/>
    <w:rsid w:val="00C1081B"/>
    <w:rsid w:val="00C110F6"/>
    <w:rsid w:val="00C12FB3"/>
    <w:rsid w:val="00C13098"/>
    <w:rsid w:val="00C15634"/>
    <w:rsid w:val="00C17F60"/>
    <w:rsid w:val="00C20CD5"/>
    <w:rsid w:val="00C21FBD"/>
    <w:rsid w:val="00C23713"/>
    <w:rsid w:val="00C27113"/>
    <w:rsid w:val="00C30FC1"/>
    <w:rsid w:val="00C3123E"/>
    <w:rsid w:val="00C33095"/>
    <w:rsid w:val="00C43137"/>
    <w:rsid w:val="00C43D3A"/>
    <w:rsid w:val="00C452DA"/>
    <w:rsid w:val="00C45922"/>
    <w:rsid w:val="00C530AB"/>
    <w:rsid w:val="00C53340"/>
    <w:rsid w:val="00C55EDB"/>
    <w:rsid w:val="00C6293A"/>
    <w:rsid w:val="00C66661"/>
    <w:rsid w:val="00C67DC3"/>
    <w:rsid w:val="00C70206"/>
    <w:rsid w:val="00C70A70"/>
    <w:rsid w:val="00C7490A"/>
    <w:rsid w:val="00C74D51"/>
    <w:rsid w:val="00C74E8D"/>
    <w:rsid w:val="00C7670B"/>
    <w:rsid w:val="00C76E6B"/>
    <w:rsid w:val="00C770D6"/>
    <w:rsid w:val="00C8222E"/>
    <w:rsid w:val="00C8233A"/>
    <w:rsid w:val="00C84FB4"/>
    <w:rsid w:val="00C91C6C"/>
    <w:rsid w:val="00C9383B"/>
    <w:rsid w:val="00C93DA4"/>
    <w:rsid w:val="00C93FE3"/>
    <w:rsid w:val="00C970E9"/>
    <w:rsid w:val="00C97AE4"/>
    <w:rsid w:val="00CA0EB9"/>
    <w:rsid w:val="00CA70D3"/>
    <w:rsid w:val="00CA7DFC"/>
    <w:rsid w:val="00CB416F"/>
    <w:rsid w:val="00CC2278"/>
    <w:rsid w:val="00CC2A75"/>
    <w:rsid w:val="00CC504B"/>
    <w:rsid w:val="00CC6CD7"/>
    <w:rsid w:val="00CD36CF"/>
    <w:rsid w:val="00CD38FF"/>
    <w:rsid w:val="00CD49C9"/>
    <w:rsid w:val="00CD5BB9"/>
    <w:rsid w:val="00CD5C01"/>
    <w:rsid w:val="00CD70D3"/>
    <w:rsid w:val="00CE0CA2"/>
    <w:rsid w:val="00CE2EF3"/>
    <w:rsid w:val="00CE439D"/>
    <w:rsid w:val="00CE7EBD"/>
    <w:rsid w:val="00CF1DDC"/>
    <w:rsid w:val="00CF23F2"/>
    <w:rsid w:val="00CF2A43"/>
    <w:rsid w:val="00CF6370"/>
    <w:rsid w:val="00D00C0B"/>
    <w:rsid w:val="00D07194"/>
    <w:rsid w:val="00D119D9"/>
    <w:rsid w:val="00D14B11"/>
    <w:rsid w:val="00D14EB3"/>
    <w:rsid w:val="00D1792D"/>
    <w:rsid w:val="00D23831"/>
    <w:rsid w:val="00D23F0C"/>
    <w:rsid w:val="00D2528A"/>
    <w:rsid w:val="00D25F8F"/>
    <w:rsid w:val="00D2749A"/>
    <w:rsid w:val="00D31735"/>
    <w:rsid w:val="00D32407"/>
    <w:rsid w:val="00D33106"/>
    <w:rsid w:val="00D35C4C"/>
    <w:rsid w:val="00D36B5B"/>
    <w:rsid w:val="00D47E88"/>
    <w:rsid w:val="00D47FB1"/>
    <w:rsid w:val="00D505F8"/>
    <w:rsid w:val="00D50764"/>
    <w:rsid w:val="00D5369A"/>
    <w:rsid w:val="00D56AA0"/>
    <w:rsid w:val="00D62D52"/>
    <w:rsid w:val="00D631F1"/>
    <w:rsid w:val="00D649E3"/>
    <w:rsid w:val="00D65B29"/>
    <w:rsid w:val="00D7263D"/>
    <w:rsid w:val="00D73194"/>
    <w:rsid w:val="00D734EB"/>
    <w:rsid w:val="00D743F0"/>
    <w:rsid w:val="00D74984"/>
    <w:rsid w:val="00D7768D"/>
    <w:rsid w:val="00D8017B"/>
    <w:rsid w:val="00D840CE"/>
    <w:rsid w:val="00D84957"/>
    <w:rsid w:val="00D84BBB"/>
    <w:rsid w:val="00D94402"/>
    <w:rsid w:val="00D95129"/>
    <w:rsid w:val="00DA070B"/>
    <w:rsid w:val="00DA104A"/>
    <w:rsid w:val="00DA11FF"/>
    <w:rsid w:val="00DA31F3"/>
    <w:rsid w:val="00DA4229"/>
    <w:rsid w:val="00DA61A3"/>
    <w:rsid w:val="00DA7E17"/>
    <w:rsid w:val="00DB432A"/>
    <w:rsid w:val="00DC0073"/>
    <w:rsid w:val="00DC1785"/>
    <w:rsid w:val="00DC1845"/>
    <w:rsid w:val="00DD3144"/>
    <w:rsid w:val="00DD5CDC"/>
    <w:rsid w:val="00DE0244"/>
    <w:rsid w:val="00DE1247"/>
    <w:rsid w:val="00DE3466"/>
    <w:rsid w:val="00DE388E"/>
    <w:rsid w:val="00DE439B"/>
    <w:rsid w:val="00DE798C"/>
    <w:rsid w:val="00DF224A"/>
    <w:rsid w:val="00DF2A22"/>
    <w:rsid w:val="00DF6C47"/>
    <w:rsid w:val="00DF700D"/>
    <w:rsid w:val="00DF7F86"/>
    <w:rsid w:val="00E01166"/>
    <w:rsid w:val="00E041E3"/>
    <w:rsid w:val="00E045B8"/>
    <w:rsid w:val="00E06079"/>
    <w:rsid w:val="00E078F9"/>
    <w:rsid w:val="00E07FC3"/>
    <w:rsid w:val="00E10196"/>
    <w:rsid w:val="00E130B3"/>
    <w:rsid w:val="00E1479F"/>
    <w:rsid w:val="00E154F9"/>
    <w:rsid w:val="00E15D36"/>
    <w:rsid w:val="00E16C76"/>
    <w:rsid w:val="00E17D50"/>
    <w:rsid w:val="00E2156C"/>
    <w:rsid w:val="00E21A77"/>
    <w:rsid w:val="00E26861"/>
    <w:rsid w:val="00E330A2"/>
    <w:rsid w:val="00E33979"/>
    <w:rsid w:val="00E342B4"/>
    <w:rsid w:val="00E34498"/>
    <w:rsid w:val="00E34CA2"/>
    <w:rsid w:val="00E34DD1"/>
    <w:rsid w:val="00E47408"/>
    <w:rsid w:val="00E529B8"/>
    <w:rsid w:val="00E53533"/>
    <w:rsid w:val="00E560DA"/>
    <w:rsid w:val="00E567C9"/>
    <w:rsid w:val="00E57DCA"/>
    <w:rsid w:val="00E62C55"/>
    <w:rsid w:val="00E6360D"/>
    <w:rsid w:val="00E638D9"/>
    <w:rsid w:val="00E64075"/>
    <w:rsid w:val="00E6604A"/>
    <w:rsid w:val="00E6630D"/>
    <w:rsid w:val="00E70A0C"/>
    <w:rsid w:val="00E745C0"/>
    <w:rsid w:val="00E76F4F"/>
    <w:rsid w:val="00E90973"/>
    <w:rsid w:val="00E91EBC"/>
    <w:rsid w:val="00E92130"/>
    <w:rsid w:val="00E94C75"/>
    <w:rsid w:val="00E96189"/>
    <w:rsid w:val="00EA0293"/>
    <w:rsid w:val="00EA45CF"/>
    <w:rsid w:val="00EA4F13"/>
    <w:rsid w:val="00EA6C56"/>
    <w:rsid w:val="00EB05D8"/>
    <w:rsid w:val="00EB4C59"/>
    <w:rsid w:val="00EB7941"/>
    <w:rsid w:val="00EC40F8"/>
    <w:rsid w:val="00EC6A42"/>
    <w:rsid w:val="00ED30C4"/>
    <w:rsid w:val="00ED38D6"/>
    <w:rsid w:val="00ED401B"/>
    <w:rsid w:val="00ED534C"/>
    <w:rsid w:val="00EE00C9"/>
    <w:rsid w:val="00EE2495"/>
    <w:rsid w:val="00EE4895"/>
    <w:rsid w:val="00EE6039"/>
    <w:rsid w:val="00EF1693"/>
    <w:rsid w:val="00EF1CF9"/>
    <w:rsid w:val="00EF29A6"/>
    <w:rsid w:val="00EF35D5"/>
    <w:rsid w:val="00EF3F20"/>
    <w:rsid w:val="00EF6A11"/>
    <w:rsid w:val="00F00B7F"/>
    <w:rsid w:val="00F01842"/>
    <w:rsid w:val="00F0450C"/>
    <w:rsid w:val="00F06C94"/>
    <w:rsid w:val="00F1084A"/>
    <w:rsid w:val="00F1359A"/>
    <w:rsid w:val="00F13B1C"/>
    <w:rsid w:val="00F210B2"/>
    <w:rsid w:val="00F25D80"/>
    <w:rsid w:val="00F269F2"/>
    <w:rsid w:val="00F303DB"/>
    <w:rsid w:val="00F35341"/>
    <w:rsid w:val="00F35A29"/>
    <w:rsid w:val="00F3707D"/>
    <w:rsid w:val="00F400DF"/>
    <w:rsid w:val="00F42104"/>
    <w:rsid w:val="00F55D8D"/>
    <w:rsid w:val="00F61CA6"/>
    <w:rsid w:val="00F637FA"/>
    <w:rsid w:val="00F662DF"/>
    <w:rsid w:val="00F67B2D"/>
    <w:rsid w:val="00F70735"/>
    <w:rsid w:val="00F7324B"/>
    <w:rsid w:val="00F7551C"/>
    <w:rsid w:val="00F81585"/>
    <w:rsid w:val="00F84A6C"/>
    <w:rsid w:val="00F9270D"/>
    <w:rsid w:val="00F9660A"/>
    <w:rsid w:val="00F970CE"/>
    <w:rsid w:val="00FA1456"/>
    <w:rsid w:val="00FA27E5"/>
    <w:rsid w:val="00FA3BE1"/>
    <w:rsid w:val="00FA510E"/>
    <w:rsid w:val="00FB4B17"/>
    <w:rsid w:val="00FB58E7"/>
    <w:rsid w:val="00FB6560"/>
    <w:rsid w:val="00FB72ED"/>
    <w:rsid w:val="00FB7647"/>
    <w:rsid w:val="00FC0D42"/>
    <w:rsid w:val="00FC64EF"/>
    <w:rsid w:val="00FC78B9"/>
    <w:rsid w:val="00FD05D3"/>
    <w:rsid w:val="00FD3DE8"/>
    <w:rsid w:val="00FD5650"/>
    <w:rsid w:val="00FD654E"/>
    <w:rsid w:val="00FE005A"/>
    <w:rsid w:val="00FE018F"/>
    <w:rsid w:val="00FE309D"/>
    <w:rsid w:val="00FE322A"/>
    <w:rsid w:val="00FE3A6F"/>
    <w:rsid w:val="00FE4D33"/>
    <w:rsid w:val="00FE4F81"/>
    <w:rsid w:val="00FE4FD7"/>
    <w:rsid w:val="00FE6CC4"/>
    <w:rsid w:val="00FF1353"/>
    <w:rsid w:val="00FF2D2F"/>
    <w:rsid w:val="00FF2EF8"/>
    <w:rsid w:val="00FF6AF2"/>
    <w:rsid w:val="00FF76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347B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3778B0"/>
    <w:pPr>
      <w:spacing w:before="80" w:line="290" w:lineRule="atLeast"/>
    </w:pPr>
    <w:rPr>
      <w:rFonts w:ascii="Times" w:hAnsi="Times"/>
      <w:sz w:val="21"/>
    </w:rPr>
  </w:style>
  <w:style w:type="paragraph" w:styleId="Heading1">
    <w:name w:val="heading 1"/>
    <w:basedOn w:val="Heading1frontmatteronly"/>
    <w:next w:val="Body"/>
    <w:qFormat/>
    <w:rsid w:val="0080380A"/>
    <w:pPr>
      <w:pageBreakBefore/>
      <w:numPr>
        <w:numId w:val="1"/>
      </w:numPr>
      <w:pBdr>
        <w:top w:val="single" w:sz="2" w:space="2" w:color="auto"/>
      </w:pBdr>
      <w:suppressAutoHyphens/>
      <w:outlineLvl w:val="0"/>
    </w:pPr>
    <w:rPr>
      <w:kern w:val="28"/>
    </w:rPr>
  </w:style>
  <w:style w:type="paragraph" w:styleId="Heading2">
    <w:name w:val="heading 2"/>
    <w:basedOn w:val="Normal"/>
    <w:next w:val="Body"/>
    <w:link w:val="Heading2Char"/>
    <w:qFormat/>
    <w:rsid w:val="00B76740"/>
    <w:pPr>
      <w:keepNext/>
      <w:numPr>
        <w:ilvl w:val="1"/>
        <w:numId w:val="1"/>
      </w:numPr>
      <w:tabs>
        <w:tab w:val="num" w:pos="432"/>
      </w:tabs>
      <w:suppressAutoHyphens/>
      <w:spacing w:before="240" w:line="280" w:lineRule="atLeast"/>
      <w:ind w:left="432" w:hanging="432"/>
      <w:outlineLvl w:val="1"/>
    </w:pPr>
    <w:rPr>
      <w:rFonts w:ascii="Arial" w:hAnsi="Arial"/>
      <w:b/>
      <w:color w:val="00357F"/>
      <w:kern w:val="32"/>
      <w:sz w:val="24"/>
    </w:rPr>
  </w:style>
  <w:style w:type="paragraph" w:styleId="Heading3">
    <w:name w:val="heading 3"/>
    <w:basedOn w:val="Normal"/>
    <w:next w:val="Body"/>
    <w:link w:val="Heading3Char"/>
    <w:qFormat/>
    <w:rsid w:val="00223E4B"/>
    <w:pPr>
      <w:keepNext/>
      <w:numPr>
        <w:ilvl w:val="2"/>
        <w:numId w:val="1"/>
      </w:numPr>
      <w:tabs>
        <w:tab w:val="num" w:pos="864"/>
      </w:tabs>
      <w:suppressAutoHyphens/>
      <w:spacing w:before="160" w:after="20" w:line="280" w:lineRule="atLeast"/>
      <w:ind w:left="864" w:hanging="864"/>
      <w:outlineLvl w:val="2"/>
    </w:pPr>
    <w:rPr>
      <w:rFonts w:ascii="Arial" w:hAnsi="Arial"/>
      <w:b/>
      <w:color w:val="00357F"/>
      <w:kern w:val="28"/>
    </w:rPr>
  </w:style>
  <w:style w:type="paragraph" w:styleId="Heading4">
    <w:name w:val="heading 4"/>
    <w:basedOn w:val="Normal"/>
    <w:next w:val="Body"/>
    <w:qFormat/>
    <w:rsid w:val="0080380A"/>
    <w:pPr>
      <w:keepNext/>
      <w:numPr>
        <w:ilvl w:val="3"/>
        <w:numId w:val="1"/>
      </w:numPr>
      <w:suppressAutoHyphens/>
      <w:spacing w:line="280" w:lineRule="atLeast"/>
      <w:outlineLvl w:val="3"/>
    </w:pPr>
    <w:rPr>
      <w:rFonts w:ascii="Arial" w:hAnsi="Arial"/>
      <w:b/>
      <w:sz w:val="18"/>
      <w:szCs w:val="18"/>
    </w:rPr>
  </w:style>
  <w:style w:type="paragraph" w:styleId="Heading5">
    <w:name w:val="heading 5"/>
    <w:basedOn w:val="Normal"/>
    <w:rsid w:val="00DC1845"/>
    <w:pPr>
      <w:numPr>
        <w:ilvl w:val="4"/>
        <w:numId w:val="1"/>
      </w:numPr>
      <w:spacing w:line="280" w:lineRule="atLeast"/>
      <w:outlineLvl w:val="4"/>
    </w:pPr>
    <w:rPr>
      <w:rFonts w:ascii="Arial" w:hAnsi="Arial"/>
      <w:i/>
      <w:sz w:val="18"/>
      <w:szCs w:val="18"/>
    </w:rPr>
  </w:style>
  <w:style w:type="paragraph" w:styleId="Heading6">
    <w:name w:val="heading 6"/>
    <w:basedOn w:val="Normal"/>
    <w:rsid w:val="00915E92"/>
    <w:pPr>
      <w:numPr>
        <w:ilvl w:val="5"/>
        <w:numId w:val="1"/>
      </w:numPr>
      <w:spacing w:line="280" w:lineRule="atLeast"/>
      <w:outlineLvl w:val="5"/>
    </w:pPr>
    <w:rPr>
      <w:rFonts w:ascii="Times New Roman" w:hAnsi="Times New Roman"/>
      <w:i/>
      <w:color w:val="00357F"/>
      <w:sz w:val="17"/>
      <w:szCs w:val="17"/>
    </w:rPr>
  </w:style>
  <w:style w:type="paragraph" w:styleId="Heading7">
    <w:name w:val="heading 7"/>
    <w:basedOn w:val="Normal"/>
    <w:rsid w:val="00195C50"/>
    <w:pPr>
      <w:numPr>
        <w:ilvl w:val="6"/>
        <w:numId w:val="1"/>
      </w:numPr>
      <w:spacing w:before="240" w:after="60"/>
      <w:outlineLvl w:val="6"/>
    </w:pPr>
    <w:rPr>
      <w:rFonts w:ascii="Arial" w:hAnsi="Arial"/>
      <w:noProof/>
      <w:sz w:val="20"/>
    </w:rPr>
  </w:style>
  <w:style w:type="paragraph" w:styleId="Heading8">
    <w:name w:val="heading 8"/>
    <w:basedOn w:val="Normal"/>
    <w:rsid w:val="00195C50"/>
    <w:pPr>
      <w:numPr>
        <w:ilvl w:val="7"/>
        <w:numId w:val="1"/>
      </w:numPr>
      <w:spacing w:before="240" w:after="60"/>
      <w:outlineLvl w:val="7"/>
    </w:pPr>
    <w:rPr>
      <w:rFonts w:ascii="Arial" w:hAnsi="Arial"/>
      <w:i/>
      <w:noProof/>
      <w:sz w:val="20"/>
    </w:rPr>
  </w:style>
  <w:style w:type="paragraph" w:styleId="Heading9">
    <w:name w:val="heading 9"/>
    <w:basedOn w:val="Normal"/>
    <w:rsid w:val="00195C50"/>
    <w:pPr>
      <w:numPr>
        <w:ilvl w:val="8"/>
        <w:numId w:val="1"/>
      </w:numPr>
      <w:spacing w:before="240" w:after="60"/>
      <w:outlineLvl w:val="8"/>
    </w:pPr>
    <w:rPr>
      <w:rFonts w:ascii="Arial" w:hAnsi="Arial"/>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frontmatteronly">
    <w:name w:val="Heading 1 (front matter only)"/>
    <w:link w:val="Heading1frontmatteronlyChar"/>
    <w:qFormat/>
    <w:rsid w:val="0072758E"/>
    <w:pPr>
      <w:keepNext/>
      <w:pBdr>
        <w:top w:val="single" w:sz="2" w:space="1" w:color="000000"/>
      </w:pBdr>
      <w:spacing w:after="700" w:line="340" w:lineRule="atLeast"/>
    </w:pPr>
    <w:rPr>
      <w:rFonts w:ascii="Arial" w:hAnsi="Arial"/>
      <w:b/>
      <w:kern w:val="36"/>
      <w:sz w:val="28"/>
      <w:szCs w:val="28"/>
    </w:rPr>
  </w:style>
  <w:style w:type="paragraph" w:customStyle="1" w:styleId="Body">
    <w:name w:val="Body"/>
    <w:qFormat/>
    <w:rsid w:val="0061023D"/>
    <w:pPr>
      <w:tabs>
        <w:tab w:val="left" w:pos="216"/>
      </w:tabs>
      <w:spacing w:before="180" w:after="180" w:line="280" w:lineRule="atLeast"/>
    </w:pPr>
    <w:rPr>
      <w:color w:val="000000"/>
      <w:kern w:val="22"/>
      <w:sz w:val="21"/>
    </w:rPr>
  </w:style>
  <w:style w:type="paragraph" w:customStyle="1" w:styleId="Code-Example">
    <w:name w:val="Code-Example"/>
    <w:rsid w:val="008717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240" w:lineRule="atLeast"/>
    </w:pPr>
    <w:rPr>
      <w:rFonts w:ascii="Courier New" w:hAnsi="Courier New"/>
      <w:noProof/>
      <w:sz w:val="18"/>
      <w:szCs w:val="17"/>
    </w:rPr>
  </w:style>
  <w:style w:type="paragraph" w:customStyle="1" w:styleId="z-ui-user-information">
    <w:name w:val="z-ui-user-information"/>
    <w:rsid w:val="00195C50"/>
    <w:pPr>
      <w:spacing w:before="60" w:after="60" w:line="240" w:lineRule="exact"/>
      <w:ind w:left="288"/>
    </w:pPr>
    <w:rPr>
      <w:rFonts w:ascii="Arial Narrow" w:hAnsi="Arial Narrow"/>
    </w:rPr>
  </w:style>
  <w:style w:type="paragraph" w:customStyle="1" w:styleId="Quotation">
    <w:name w:val="Quotation"/>
    <w:next w:val="Body"/>
    <w:qFormat/>
    <w:rsid w:val="00A003BA"/>
    <w:pPr>
      <w:spacing w:before="80" w:after="80" w:line="250" w:lineRule="atLeast"/>
      <w:ind w:left="432"/>
    </w:pPr>
    <w:rPr>
      <w:i/>
      <w:color w:val="00357F"/>
      <w:kern w:val="22"/>
      <w:sz w:val="21"/>
    </w:rPr>
  </w:style>
  <w:style w:type="paragraph" w:customStyle="1" w:styleId="z-logo-CMU">
    <w:name w:val="z-logo-CMU"/>
    <w:basedOn w:val="Footer"/>
    <w:rsid w:val="002855EB"/>
  </w:style>
  <w:style w:type="paragraph" w:styleId="Footer">
    <w:name w:val="footer"/>
    <w:basedOn w:val="Normal"/>
    <w:link w:val="FooterChar"/>
    <w:rsid w:val="00195C50"/>
    <w:pPr>
      <w:widowControl w:val="0"/>
      <w:tabs>
        <w:tab w:val="center" w:pos="4320"/>
        <w:tab w:val="right" w:pos="8640"/>
      </w:tabs>
      <w:spacing w:line="240" w:lineRule="atLeast"/>
      <w:jc w:val="both"/>
    </w:pPr>
    <w:rPr>
      <w:rFonts w:ascii="Arial" w:hAnsi="Arial"/>
      <w:noProof/>
      <w:sz w:val="18"/>
    </w:rPr>
  </w:style>
  <w:style w:type="paragraph" w:styleId="Index1">
    <w:name w:val="index 1"/>
    <w:basedOn w:val="Normal"/>
    <w:semiHidden/>
    <w:rsid w:val="00195C50"/>
    <w:pPr>
      <w:tabs>
        <w:tab w:val="left" w:pos="360"/>
      </w:tabs>
      <w:spacing w:line="240" w:lineRule="atLeast"/>
      <w:ind w:left="360" w:hanging="360"/>
    </w:pPr>
    <w:rPr>
      <w:rFonts w:ascii="Times New Roman" w:hAnsi="Times New Roman"/>
      <w:noProof/>
      <w:kern w:val="22"/>
      <w:sz w:val="22"/>
    </w:rPr>
  </w:style>
  <w:style w:type="paragraph" w:customStyle="1" w:styleId="ListBulleted1">
    <w:name w:val="List Bulleted 1"/>
    <w:qFormat/>
    <w:rsid w:val="003F35B0"/>
    <w:pPr>
      <w:numPr>
        <w:numId w:val="2"/>
      </w:numPr>
      <w:tabs>
        <w:tab w:val="clear" w:pos="360"/>
        <w:tab w:val="left" w:pos="432"/>
      </w:tabs>
      <w:spacing w:before="20" w:after="60" w:line="290" w:lineRule="atLeast"/>
      <w:ind w:left="432" w:hanging="432"/>
    </w:pPr>
    <w:rPr>
      <w:kern w:val="22"/>
      <w:sz w:val="21"/>
    </w:rPr>
  </w:style>
  <w:style w:type="paragraph" w:customStyle="1" w:styleId="ListBulleted2">
    <w:name w:val="List Bulleted 2"/>
    <w:qFormat/>
    <w:rsid w:val="00680CAC"/>
    <w:pPr>
      <w:numPr>
        <w:numId w:val="3"/>
      </w:numPr>
      <w:spacing w:before="20" w:after="20" w:line="290" w:lineRule="atLeast"/>
    </w:pPr>
    <w:rPr>
      <w:kern w:val="20"/>
      <w:sz w:val="21"/>
    </w:rPr>
  </w:style>
  <w:style w:type="paragraph" w:styleId="TOC3">
    <w:name w:val="toc 3"/>
    <w:basedOn w:val="Normal"/>
    <w:uiPriority w:val="39"/>
    <w:rsid w:val="00BC608E"/>
    <w:pPr>
      <w:tabs>
        <w:tab w:val="left" w:pos="1224"/>
        <w:tab w:val="right" w:pos="8280"/>
      </w:tabs>
      <w:spacing w:before="200" w:after="20" w:line="200" w:lineRule="atLeast"/>
      <w:ind w:left="1224" w:hanging="1224"/>
    </w:pPr>
    <w:rPr>
      <w:rFonts w:ascii="Arial" w:hAnsi="Arial"/>
      <w:b/>
      <w:noProof/>
      <w:kern w:val="22"/>
      <w:sz w:val="18"/>
      <w:szCs w:val="18"/>
    </w:rPr>
  </w:style>
  <w:style w:type="paragraph" w:styleId="TOC1">
    <w:name w:val="toc 1"/>
    <w:next w:val="TOC2"/>
    <w:uiPriority w:val="39"/>
    <w:rsid w:val="00FB58E7"/>
    <w:pPr>
      <w:tabs>
        <w:tab w:val="left" w:pos="504"/>
        <w:tab w:val="right" w:pos="8280"/>
      </w:tabs>
      <w:spacing w:before="200" w:after="40" w:line="200" w:lineRule="atLeast"/>
      <w:ind w:left="504" w:hanging="504"/>
    </w:pPr>
    <w:rPr>
      <w:rFonts w:ascii="Arial" w:hAnsi="Arial"/>
      <w:b/>
      <w:noProof/>
      <w:kern w:val="22"/>
      <w:sz w:val="18"/>
      <w:szCs w:val="18"/>
    </w:rPr>
  </w:style>
  <w:style w:type="paragraph" w:styleId="TOC2">
    <w:name w:val="toc 2"/>
    <w:uiPriority w:val="39"/>
    <w:rsid w:val="00FB58E7"/>
    <w:pPr>
      <w:tabs>
        <w:tab w:val="right" w:pos="8280"/>
      </w:tabs>
      <w:spacing w:before="200" w:after="20" w:line="200" w:lineRule="atLeast"/>
    </w:pPr>
    <w:rPr>
      <w:rFonts w:ascii="Arial" w:hAnsi="Arial"/>
      <w:b/>
      <w:noProof/>
      <w:kern w:val="22"/>
      <w:sz w:val="18"/>
      <w:szCs w:val="18"/>
    </w:rPr>
  </w:style>
  <w:style w:type="paragraph" w:styleId="TOC4">
    <w:name w:val="toc 4"/>
    <w:basedOn w:val="Normal"/>
    <w:uiPriority w:val="39"/>
    <w:rsid w:val="004F1321"/>
    <w:pPr>
      <w:tabs>
        <w:tab w:val="left" w:pos="1008"/>
        <w:tab w:val="right" w:pos="8280"/>
      </w:tabs>
      <w:spacing w:before="20" w:after="20" w:line="220" w:lineRule="exact"/>
      <w:ind w:left="1008" w:hanging="504"/>
    </w:pPr>
    <w:rPr>
      <w:rFonts w:ascii="Arial" w:hAnsi="Arial"/>
      <w:noProof/>
      <w:kern w:val="22"/>
      <w:sz w:val="18"/>
      <w:szCs w:val="18"/>
    </w:rPr>
  </w:style>
  <w:style w:type="paragraph" w:styleId="TOC5">
    <w:name w:val="toc 5"/>
    <w:basedOn w:val="Normal"/>
    <w:uiPriority w:val="39"/>
    <w:rsid w:val="004F1321"/>
    <w:pPr>
      <w:tabs>
        <w:tab w:val="left" w:pos="1008"/>
        <w:tab w:val="left" w:pos="1920"/>
        <w:tab w:val="right" w:pos="8280"/>
      </w:tabs>
      <w:spacing w:before="20" w:after="20" w:line="220" w:lineRule="exact"/>
      <w:ind w:left="1627" w:hanging="619"/>
    </w:pPr>
    <w:rPr>
      <w:rFonts w:ascii="Arial" w:hAnsi="Arial"/>
      <w:noProof/>
      <w:sz w:val="18"/>
      <w:szCs w:val="18"/>
    </w:rPr>
  </w:style>
  <w:style w:type="paragraph" w:styleId="TOC6">
    <w:name w:val="toc 6"/>
    <w:basedOn w:val="Normal"/>
    <w:semiHidden/>
    <w:rsid w:val="00195C50"/>
    <w:pPr>
      <w:tabs>
        <w:tab w:val="right" w:leader="dot" w:pos="5141"/>
      </w:tabs>
      <w:ind w:left="1200"/>
    </w:pPr>
    <w:rPr>
      <w:rFonts w:ascii="Times New Roman" w:hAnsi="Times New Roman"/>
      <w:noProof/>
      <w:sz w:val="20"/>
    </w:rPr>
  </w:style>
  <w:style w:type="paragraph" w:styleId="TOC7">
    <w:name w:val="toc 7"/>
    <w:basedOn w:val="Normal"/>
    <w:semiHidden/>
    <w:rsid w:val="00195C50"/>
    <w:pPr>
      <w:tabs>
        <w:tab w:val="right" w:leader="dot" w:pos="5141"/>
      </w:tabs>
      <w:ind w:left="1440"/>
    </w:pPr>
    <w:rPr>
      <w:rFonts w:ascii="Times New Roman" w:hAnsi="Times New Roman"/>
      <w:noProof/>
      <w:sz w:val="20"/>
    </w:rPr>
  </w:style>
  <w:style w:type="paragraph" w:styleId="TOC8">
    <w:name w:val="toc 8"/>
    <w:basedOn w:val="Normal"/>
    <w:semiHidden/>
    <w:rsid w:val="00195C50"/>
    <w:pPr>
      <w:tabs>
        <w:tab w:val="right" w:leader="dot" w:pos="5141"/>
      </w:tabs>
      <w:ind w:left="1680"/>
    </w:pPr>
    <w:rPr>
      <w:rFonts w:ascii="Times New Roman" w:hAnsi="Times New Roman"/>
      <w:noProof/>
      <w:sz w:val="20"/>
    </w:rPr>
  </w:style>
  <w:style w:type="paragraph" w:styleId="TOC9">
    <w:name w:val="toc 9"/>
    <w:basedOn w:val="Normal"/>
    <w:semiHidden/>
    <w:rsid w:val="00195C50"/>
    <w:pPr>
      <w:tabs>
        <w:tab w:val="right" w:leader="dot" w:pos="5141"/>
      </w:tabs>
      <w:ind w:left="1920"/>
    </w:pPr>
    <w:rPr>
      <w:rFonts w:ascii="Times New Roman" w:hAnsi="Times New Roman"/>
      <w:noProof/>
      <w:sz w:val="20"/>
    </w:rPr>
  </w:style>
  <w:style w:type="character" w:styleId="PageNumber">
    <w:name w:val="page number"/>
    <w:basedOn w:val="DefaultParagraphFont"/>
    <w:rsid w:val="002273A4"/>
    <w:rPr>
      <w:rFonts w:ascii="Arial" w:hAnsi="Arial"/>
      <w:caps/>
      <w:color w:val="00357F"/>
      <w:sz w:val="15"/>
      <w:szCs w:val="15"/>
      <w:u w:val="none"/>
      <w:lang w:val="en-US"/>
    </w:rPr>
  </w:style>
  <w:style w:type="paragraph" w:styleId="Caption">
    <w:name w:val="caption"/>
    <w:next w:val="Body"/>
    <w:qFormat/>
    <w:rsid w:val="00A01547"/>
    <w:pPr>
      <w:tabs>
        <w:tab w:val="left" w:pos="864"/>
      </w:tabs>
      <w:spacing w:before="160" w:after="40" w:line="220" w:lineRule="atLeast"/>
      <w:ind w:left="864" w:hanging="864"/>
    </w:pPr>
    <w:rPr>
      <w:rFonts w:ascii="Arial" w:hAnsi="Arial"/>
      <w:i/>
      <w:color w:val="000000"/>
      <w:kern w:val="22"/>
      <w:sz w:val="18"/>
      <w:szCs w:val="19"/>
    </w:rPr>
  </w:style>
  <w:style w:type="paragraph" w:customStyle="1" w:styleId="Body-MoreSpaceBefore">
    <w:name w:val="Body - More Space Before"/>
    <w:basedOn w:val="Body"/>
    <w:rsid w:val="00362097"/>
    <w:pPr>
      <w:spacing w:before="160"/>
    </w:pPr>
  </w:style>
  <w:style w:type="paragraph" w:customStyle="1" w:styleId="Body-MoreSpaceAfter">
    <w:name w:val="Body - More Space After"/>
    <w:basedOn w:val="Body"/>
    <w:rsid w:val="00362097"/>
    <w:pPr>
      <w:spacing w:after="160"/>
    </w:pPr>
  </w:style>
  <w:style w:type="paragraph" w:styleId="FootnoteText">
    <w:name w:val="footnote text"/>
    <w:basedOn w:val="Normal"/>
    <w:link w:val="FootnoteTextChar"/>
    <w:semiHidden/>
    <w:rsid w:val="004B79B5"/>
    <w:pPr>
      <w:tabs>
        <w:tab w:val="left" w:pos="360"/>
      </w:tabs>
      <w:spacing w:before="0" w:after="160" w:line="180" w:lineRule="atLeast"/>
      <w:ind w:left="360" w:hanging="360"/>
    </w:pPr>
    <w:rPr>
      <w:rFonts w:ascii="Arial" w:hAnsi="Arial"/>
      <w:color w:val="00357F"/>
      <w:kern w:val="20"/>
      <w:sz w:val="16"/>
      <w:szCs w:val="16"/>
    </w:rPr>
  </w:style>
  <w:style w:type="paragraph" w:customStyle="1" w:styleId="ListNumbered1">
    <w:name w:val="List Numbered 1"/>
    <w:basedOn w:val="Body"/>
    <w:qFormat/>
    <w:rsid w:val="00D94402"/>
    <w:pPr>
      <w:numPr>
        <w:numId w:val="4"/>
      </w:numPr>
      <w:tabs>
        <w:tab w:val="left" w:pos="432"/>
      </w:tabs>
      <w:spacing w:before="20" w:after="60"/>
    </w:pPr>
  </w:style>
  <w:style w:type="paragraph" w:customStyle="1" w:styleId="Bib-Author">
    <w:name w:val="Bib-Author"/>
    <w:next w:val="Bib-Entry"/>
    <w:link w:val="Bib-AuthorChar"/>
    <w:qFormat/>
    <w:rsid w:val="00621E1B"/>
    <w:pPr>
      <w:keepNext/>
      <w:spacing w:before="300" w:line="260" w:lineRule="exact"/>
    </w:pPr>
    <w:rPr>
      <w:rFonts w:ascii="Arial" w:hAnsi="Arial"/>
      <w:b/>
      <w:noProof/>
      <w:kern w:val="20"/>
      <w:sz w:val="22"/>
      <w:szCs w:val="18"/>
    </w:rPr>
  </w:style>
  <w:style w:type="paragraph" w:customStyle="1" w:styleId="Bib-Entry">
    <w:name w:val="Bib-Entry"/>
    <w:basedOn w:val="Body"/>
    <w:next w:val="Bib-Author"/>
    <w:qFormat/>
    <w:rsid w:val="002C4B60"/>
    <w:pPr>
      <w:spacing w:before="0" w:after="0" w:line="260" w:lineRule="atLeast"/>
    </w:pPr>
    <w:rPr>
      <w:szCs w:val="18"/>
    </w:rPr>
  </w:style>
  <w:style w:type="paragraph" w:customStyle="1" w:styleId="Heading2-nonum">
    <w:name w:val="Heading 2 - nonum"/>
    <w:basedOn w:val="Heading2"/>
    <w:next w:val="Body"/>
    <w:link w:val="Heading2-nonumChar"/>
    <w:qFormat/>
    <w:rsid w:val="00B675C1"/>
    <w:pPr>
      <w:numPr>
        <w:ilvl w:val="0"/>
        <w:numId w:val="0"/>
      </w:numPr>
      <w:tabs>
        <w:tab w:val="left" w:pos="720"/>
      </w:tabs>
    </w:pPr>
  </w:style>
  <w:style w:type="paragraph" w:customStyle="1" w:styleId="Heading3-nonum">
    <w:name w:val="Heading 3 - nonum"/>
    <w:basedOn w:val="Heading3"/>
    <w:next w:val="Body"/>
    <w:link w:val="Heading3-nonumChar"/>
    <w:qFormat/>
    <w:rsid w:val="00B675C1"/>
    <w:pPr>
      <w:numPr>
        <w:ilvl w:val="0"/>
        <w:numId w:val="0"/>
      </w:numPr>
      <w:tabs>
        <w:tab w:val="left" w:pos="1008"/>
      </w:tabs>
    </w:pPr>
  </w:style>
  <w:style w:type="paragraph" w:customStyle="1" w:styleId="Heading4-nonum">
    <w:name w:val="Heading 4 - nonum"/>
    <w:next w:val="Body"/>
    <w:rsid w:val="00487D43"/>
    <w:pPr>
      <w:keepNext/>
      <w:tabs>
        <w:tab w:val="left" w:pos="1008"/>
      </w:tabs>
      <w:suppressAutoHyphens/>
      <w:spacing w:before="80" w:line="280" w:lineRule="atLeast"/>
      <w:outlineLvl w:val="3"/>
    </w:pPr>
    <w:rPr>
      <w:rFonts w:ascii="Arial" w:hAnsi="Arial"/>
      <w:b/>
      <w:sz w:val="18"/>
      <w:szCs w:val="18"/>
    </w:rPr>
  </w:style>
  <w:style w:type="character" w:customStyle="1" w:styleId="Heading1frontmatteronlyChar">
    <w:name w:val="Heading 1 (front matter only) Char"/>
    <w:basedOn w:val="DefaultParagraphFont"/>
    <w:link w:val="Heading1frontmatteronly"/>
    <w:rsid w:val="0072758E"/>
    <w:rPr>
      <w:rFonts w:ascii="Arial" w:hAnsi="Arial"/>
      <w:b/>
      <w:kern w:val="36"/>
      <w:sz w:val="28"/>
      <w:szCs w:val="28"/>
    </w:rPr>
  </w:style>
  <w:style w:type="paragraph" w:styleId="Index2">
    <w:name w:val="index 2"/>
    <w:basedOn w:val="Normal"/>
    <w:semiHidden/>
    <w:rsid w:val="00195C50"/>
    <w:pPr>
      <w:tabs>
        <w:tab w:val="left" w:pos="360"/>
      </w:tabs>
      <w:spacing w:line="240" w:lineRule="atLeast"/>
      <w:ind w:left="720" w:hanging="360"/>
    </w:pPr>
    <w:rPr>
      <w:rFonts w:ascii="Times New Roman" w:hAnsi="Times New Roman"/>
      <w:noProof/>
      <w:kern w:val="18"/>
      <w:sz w:val="22"/>
    </w:rPr>
  </w:style>
  <w:style w:type="paragraph" w:styleId="Index3">
    <w:name w:val="index 3"/>
    <w:basedOn w:val="Normal"/>
    <w:semiHidden/>
    <w:rsid w:val="00195C50"/>
    <w:pPr>
      <w:spacing w:line="240" w:lineRule="atLeast"/>
      <w:ind w:left="720"/>
    </w:pPr>
    <w:rPr>
      <w:rFonts w:ascii="Times New Roman" w:hAnsi="Times New Roman"/>
      <w:noProof/>
      <w:sz w:val="22"/>
    </w:rPr>
  </w:style>
  <w:style w:type="paragraph" w:styleId="Index4">
    <w:name w:val="index 4"/>
    <w:basedOn w:val="Normal"/>
    <w:semiHidden/>
    <w:rsid w:val="00195C50"/>
    <w:pPr>
      <w:tabs>
        <w:tab w:val="right" w:pos="3773"/>
      </w:tabs>
      <w:ind w:left="960" w:hanging="240"/>
    </w:pPr>
    <w:rPr>
      <w:rFonts w:ascii="Times New Roman" w:hAnsi="Times New Roman"/>
      <w:sz w:val="18"/>
    </w:rPr>
  </w:style>
  <w:style w:type="paragraph" w:styleId="Index5">
    <w:name w:val="index 5"/>
    <w:basedOn w:val="Normal"/>
    <w:semiHidden/>
    <w:rsid w:val="00195C50"/>
    <w:pPr>
      <w:tabs>
        <w:tab w:val="right" w:pos="3773"/>
      </w:tabs>
      <w:ind w:left="1200" w:hanging="240"/>
    </w:pPr>
    <w:rPr>
      <w:rFonts w:ascii="Times New Roman" w:hAnsi="Times New Roman"/>
      <w:sz w:val="18"/>
    </w:rPr>
  </w:style>
  <w:style w:type="paragraph" w:styleId="Index6">
    <w:name w:val="index 6"/>
    <w:basedOn w:val="Normal"/>
    <w:semiHidden/>
    <w:rsid w:val="00195C50"/>
    <w:pPr>
      <w:tabs>
        <w:tab w:val="right" w:pos="3773"/>
      </w:tabs>
      <w:ind w:left="1440" w:hanging="240"/>
    </w:pPr>
    <w:rPr>
      <w:rFonts w:ascii="Times New Roman" w:hAnsi="Times New Roman"/>
      <w:sz w:val="18"/>
    </w:rPr>
  </w:style>
  <w:style w:type="paragraph" w:styleId="Index7">
    <w:name w:val="index 7"/>
    <w:basedOn w:val="Normal"/>
    <w:semiHidden/>
    <w:rsid w:val="00195C50"/>
    <w:pPr>
      <w:tabs>
        <w:tab w:val="right" w:pos="3773"/>
      </w:tabs>
      <w:ind w:left="1680" w:hanging="240"/>
    </w:pPr>
    <w:rPr>
      <w:rFonts w:ascii="Times New Roman" w:hAnsi="Times New Roman"/>
      <w:sz w:val="18"/>
    </w:rPr>
  </w:style>
  <w:style w:type="paragraph" w:styleId="Index8">
    <w:name w:val="index 8"/>
    <w:basedOn w:val="Normal"/>
    <w:semiHidden/>
    <w:rsid w:val="00195C50"/>
    <w:pPr>
      <w:tabs>
        <w:tab w:val="right" w:pos="3773"/>
      </w:tabs>
      <w:ind w:left="1920" w:hanging="240"/>
    </w:pPr>
    <w:rPr>
      <w:rFonts w:ascii="Times New Roman" w:hAnsi="Times New Roman"/>
      <w:sz w:val="18"/>
    </w:rPr>
  </w:style>
  <w:style w:type="paragraph" w:styleId="Index9">
    <w:name w:val="index 9"/>
    <w:basedOn w:val="Normal"/>
    <w:semiHidden/>
    <w:rsid w:val="00195C50"/>
    <w:pPr>
      <w:tabs>
        <w:tab w:val="right" w:pos="3773"/>
      </w:tabs>
      <w:ind w:left="2160" w:hanging="240"/>
    </w:pPr>
    <w:rPr>
      <w:rFonts w:ascii="Times New Roman" w:hAnsi="Times New Roman"/>
      <w:sz w:val="18"/>
    </w:rPr>
  </w:style>
  <w:style w:type="paragraph" w:customStyle="1" w:styleId="Heading1-nonum">
    <w:name w:val="Heading 1- nonum"/>
    <w:basedOn w:val="Heading1frontmatteronly"/>
    <w:next w:val="Body"/>
    <w:link w:val="Heading1-nonumChar"/>
    <w:rsid w:val="00487D43"/>
    <w:pPr>
      <w:pageBreakBefore/>
      <w:tabs>
        <w:tab w:val="left" w:pos="2606"/>
      </w:tabs>
      <w:outlineLvl w:val="0"/>
    </w:pPr>
    <w:rPr>
      <w:kern w:val="40"/>
    </w:rPr>
  </w:style>
  <w:style w:type="character" w:customStyle="1" w:styleId="ListMultilist2Char">
    <w:name w:val="List Multilist 2 Char"/>
    <w:basedOn w:val="DefaultParagraphFont"/>
    <w:link w:val="ListMultilist2"/>
    <w:rsid w:val="00171D28"/>
    <w:rPr>
      <w:color w:val="000000"/>
      <w:kern w:val="22"/>
      <w:sz w:val="21"/>
      <w:lang w:val="en-US" w:eastAsia="en-US" w:bidi="ar-SA"/>
    </w:rPr>
  </w:style>
  <w:style w:type="paragraph" w:customStyle="1" w:styleId="ListNumbered2">
    <w:name w:val="List Numbered 2"/>
    <w:basedOn w:val="Body"/>
    <w:qFormat/>
    <w:rsid w:val="00D94402"/>
    <w:pPr>
      <w:numPr>
        <w:numId w:val="7"/>
      </w:numPr>
      <w:tabs>
        <w:tab w:val="left" w:pos="432"/>
      </w:tabs>
      <w:spacing w:before="20" w:after="60" w:line="290" w:lineRule="atLeast"/>
    </w:pPr>
  </w:style>
  <w:style w:type="character" w:customStyle="1" w:styleId="Heading1-nonumChar">
    <w:name w:val="Heading 1- nonum Char"/>
    <w:basedOn w:val="Heading1frontmatteronlyChar"/>
    <w:link w:val="Heading1-nonum"/>
    <w:rsid w:val="00487D43"/>
    <w:rPr>
      <w:rFonts w:ascii="Arial" w:hAnsi="Arial"/>
      <w:b/>
      <w:kern w:val="40"/>
      <w:sz w:val="28"/>
      <w:szCs w:val="28"/>
    </w:rPr>
  </w:style>
  <w:style w:type="paragraph" w:customStyle="1" w:styleId="ListMultilist1">
    <w:name w:val="List Multilist 1"/>
    <w:basedOn w:val="Body"/>
    <w:next w:val="Body"/>
    <w:qFormat/>
    <w:rsid w:val="00B96435"/>
    <w:pPr>
      <w:spacing w:before="20" w:after="60"/>
      <w:ind w:left="432"/>
    </w:pPr>
  </w:style>
  <w:style w:type="paragraph" w:customStyle="1" w:styleId="Blank-Spacers">
    <w:name w:val="Blank-Spacers"/>
    <w:next w:val="Body"/>
    <w:rsid w:val="00195C50"/>
    <w:rPr>
      <w:noProof/>
      <w:kern w:val="20"/>
    </w:rPr>
  </w:style>
  <w:style w:type="paragraph" w:customStyle="1" w:styleId="ListMultilist2">
    <w:name w:val="List Multilist 2"/>
    <w:basedOn w:val="Body"/>
    <w:link w:val="ListMultilist2Char"/>
    <w:qFormat/>
    <w:rsid w:val="00B96435"/>
    <w:pPr>
      <w:spacing w:before="40" w:after="20" w:line="290" w:lineRule="atLeast"/>
      <w:ind w:left="864"/>
    </w:pPr>
  </w:style>
  <w:style w:type="character" w:styleId="Hyperlink">
    <w:name w:val="Hyperlink"/>
    <w:basedOn w:val="DefaultParagraphFont"/>
    <w:uiPriority w:val="99"/>
    <w:rsid w:val="00CC2278"/>
    <w:rPr>
      <w:color w:val="000000"/>
    </w:rPr>
  </w:style>
  <w:style w:type="paragraph" w:customStyle="1" w:styleId="Heading1-Appendix">
    <w:name w:val="Heading 1 - Appendix"/>
    <w:basedOn w:val="Heading1-nonum"/>
    <w:next w:val="Body"/>
    <w:link w:val="Heading1-AppendixChar"/>
    <w:qFormat/>
    <w:rsid w:val="00266EAD"/>
    <w:pPr>
      <w:tabs>
        <w:tab w:val="clear" w:pos="2606"/>
        <w:tab w:val="left" w:pos="1800"/>
      </w:tabs>
      <w:suppressAutoHyphens/>
      <w:ind w:left="1800" w:hanging="1800"/>
    </w:pPr>
  </w:style>
  <w:style w:type="paragraph" w:styleId="TableofFigures">
    <w:name w:val="table of figures"/>
    <w:basedOn w:val="Normal"/>
    <w:uiPriority w:val="99"/>
    <w:rsid w:val="00BE136C"/>
    <w:pPr>
      <w:tabs>
        <w:tab w:val="left" w:pos="1008"/>
        <w:tab w:val="right" w:pos="8280"/>
      </w:tabs>
      <w:spacing w:before="160" w:after="160" w:line="200" w:lineRule="exact"/>
      <w:ind w:left="1008" w:hanging="1008"/>
    </w:pPr>
    <w:rPr>
      <w:rFonts w:ascii="Arial" w:hAnsi="Arial"/>
      <w:noProof/>
      <w:kern w:val="22"/>
      <w:sz w:val="18"/>
      <w:szCs w:val="18"/>
    </w:rPr>
  </w:style>
  <w:style w:type="paragraph" w:customStyle="1" w:styleId="z-disclaimers">
    <w:name w:val="z-disclaimers"/>
    <w:basedOn w:val="Normal"/>
    <w:rsid w:val="008B203A"/>
    <w:rPr>
      <w:sz w:val="16"/>
      <w:szCs w:val="16"/>
    </w:rPr>
  </w:style>
  <w:style w:type="paragraph" w:styleId="IndexHeading">
    <w:name w:val="index heading"/>
    <w:basedOn w:val="Normal"/>
    <w:next w:val="Index1"/>
    <w:semiHidden/>
    <w:rsid w:val="00195C50"/>
  </w:style>
  <w:style w:type="character" w:styleId="FollowedHyperlink">
    <w:name w:val="FollowedHyperlink"/>
    <w:basedOn w:val="DefaultParagraphFont"/>
    <w:rsid w:val="00CC2278"/>
    <w:rPr>
      <w:color w:val="000000"/>
    </w:rPr>
  </w:style>
  <w:style w:type="paragraph" w:styleId="HTMLPreformatted">
    <w:name w:val="HTML Preformatted"/>
    <w:basedOn w:val="Normal"/>
    <w:rsid w:val="00D47F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rPr>
  </w:style>
  <w:style w:type="paragraph" w:customStyle="1" w:styleId="TOC">
    <w:name w:val="TOC"/>
    <w:basedOn w:val="TOC3"/>
    <w:rsid w:val="00014388"/>
    <w:pPr>
      <w:tabs>
        <w:tab w:val="right" w:pos="6840"/>
      </w:tabs>
    </w:pPr>
  </w:style>
  <w:style w:type="paragraph" w:customStyle="1" w:styleId="z-report-type">
    <w:name w:val="z-report-type"/>
    <w:next w:val="z-reportnumber--SEInumber"/>
    <w:rsid w:val="004251FB"/>
    <w:pPr>
      <w:spacing w:before="1152" w:line="200" w:lineRule="atLeast"/>
    </w:pPr>
    <w:rPr>
      <w:rFonts w:ascii="Arial" w:hAnsi="Arial"/>
      <w:b/>
      <w:caps/>
      <w:kern w:val="20"/>
      <w:sz w:val="18"/>
      <w:szCs w:val="18"/>
    </w:rPr>
  </w:style>
  <w:style w:type="paragraph" w:customStyle="1" w:styleId="z-author-second-line">
    <w:name w:val="z-author-second-line"/>
    <w:basedOn w:val="z-author-first-line"/>
    <w:next w:val="z-author-third-line"/>
    <w:rsid w:val="007D5AA6"/>
    <w:pPr>
      <w:spacing w:before="0" w:after="20"/>
    </w:pPr>
  </w:style>
  <w:style w:type="paragraph" w:customStyle="1" w:styleId="z-author-first-line">
    <w:name w:val="z-author-first-line"/>
    <w:next w:val="z-author-second-line"/>
    <w:rsid w:val="005248F6"/>
    <w:pPr>
      <w:spacing w:before="600" w:line="200" w:lineRule="atLeast"/>
    </w:pPr>
    <w:rPr>
      <w:rFonts w:ascii="Arial" w:hAnsi="Arial"/>
      <w:kern w:val="20"/>
      <w:sz w:val="18"/>
      <w:szCs w:val="18"/>
    </w:rPr>
  </w:style>
  <w:style w:type="paragraph" w:customStyle="1" w:styleId="z-author-fourth-line">
    <w:name w:val="z-author-fourth-line"/>
    <w:basedOn w:val="z-author-second-line"/>
    <w:next w:val="z-authorfifthline"/>
    <w:rsid w:val="007D5AA6"/>
  </w:style>
  <w:style w:type="paragraph" w:customStyle="1" w:styleId="z-authorfifthline">
    <w:name w:val="z-author fifth line"/>
    <w:basedOn w:val="z-author-fourth-line"/>
    <w:next w:val="z-date"/>
    <w:rsid w:val="007D5AA6"/>
  </w:style>
  <w:style w:type="paragraph" w:customStyle="1" w:styleId="z-date">
    <w:name w:val="z-date"/>
    <w:next w:val="z-report-type"/>
    <w:rsid w:val="007D5AA6"/>
    <w:pPr>
      <w:spacing w:before="720" w:after="200" w:line="280" w:lineRule="atLeast"/>
    </w:pPr>
    <w:rPr>
      <w:rFonts w:ascii="Arial" w:hAnsi="Arial"/>
      <w:b/>
      <w:noProof/>
      <w:kern w:val="20"/>
      <w:sz w:val="18"/>
      <w:szCs w:val="18"/>
    </w:rPr>
  </w:style>
  <w:style w:type="paragraph" w:customStyle="1" w:styleId="z-program-name">
    <w:name w:val="z-program-name"/>
    <w:next w:val="z-distribution-statement"/>
    <w:rsid w:val="007D5AA6"/>
    <w:pPr>
      <w:spacing w:before="1000" w:line="200" w:lineRule="atLeast"/>
    </w:pPr>
    <w:rPr>
      <w:rFonts w:ascii="Arial" w:hAnsi="Arial"/>
      <w:b/>
      <w:kern w:val="20"/>
      <w:sz w:val="18"/>
      <w:szCs w:val="18"/>
    </w:rPr>
  </w:style>
  <w:style w:type="paragraph" w:customStyle="1" w:styleId="z-signature-page-text">
    <w:name w:val="z-signature-page-text"/>
    <w:next w:val="Normal"/>
    <w:rsid w:val="009745E9"/>
    <w:pPr>
      <w:spacing w:line="220" w:lineRule="exact"/>
      <w:ind w:right="-1080"/>
    </w:pPr>
    <w:rPr>
      <w:rFonts w:ascii="Arial" w:hAnsi="Arial"/>
      <w:noProof/>
      <w:kern w:val="20"/>
      <w:sz w:val="18"/>
    </w:rPr>
  </w:style>
  <w:style w:type="paragraph" w:customStyle="1" w:styleId="z-title">
    <w:name w:val="z-title"/>
    <w:next w:val="z-author-first-line"/>
    <w:rsid w:val="00CC2278"/>
    <w:pPr>
      <w:suppressAutoHyphens/>
      <w:spacing w:before="1600" w:line="600" w:lineRule="exact"/>
    </w:pPr>
    <w:rPr>
      <w:kern w:val="52"/>
      <w:sz w:val="48"/>
      <w:szCs w:val="48"/>
    </w:rPr>
  </w:style>
  <w:style w:type="paragraph" w:customStyle="1" w:styleId="z-reportnumber--SEInumber">
    <w:name w:val="z-report number--SEI number"/>
    <w:basedOn w:val="z-report-type"/>
    <w:next w:val="z-reportnumber--ESCnumberifapplicable"/>
    <w:rsid w:val="007D5AA6"/>
    <w:pPr>
      <w:spacing w:before="0"/>
    </w:pPr>
    <w:rPr>
      <w:b w:val="0"/>
    </w:rPr>
  </w:style>
  <w:style w:type="paragraph" w:customStyle="1" w:styleId="z-distribution-statement">
    <w:name w:val="z-distribution-statement"/>
    <w:basedOn w:val="Normal"/>
    <w:next w:val="z-url"/>
    <w:rsid w:val="00442508"/>
    <w:pPr>
      <w:spacing w:before="0" w:after="180" w:line="220" w:lineRule="atLeast"/>
    </w:pPr>
    <w:rPr>
      <w:rFonts w:ascii="Arial" w:hAnsi="Arial"/>
      <w:kern w:val="20"/>
      <w:sz w:val="18"/>
      <w:szCs w:val="15"/>
    </w:rPr>
  </w:style>
  <w:style w:type="paragraph" w:customStyle="1" w:styleId="z-Signature-Page-Text-Scondras-Line">
    <w:name w:val="z-Signature-Page-Text-Scondras-Line"/>
    <w:basedOn w:val="z-signature-page-text"/>
    <w:rsid w:val="007D5AA6"/>
    <w:pPr>
      <w:spacing w:line="240" w:lineRule="atLeast"/>
      <w:ind w:left="-288"/>
    </w:pPr>
  </w:style>
  <w:style w:type="paragraph" w:customStyle="1" w:styleId="z-logo-SEI">
    <w:name w:val="z-logo-SEI"/>
    <w:basedOn w:val="Normal"/>
    <w:rsid w:val="007D5AA6"/>
    <w:pPr>
      <w:spacing w:before="300" w:line="240" w:lineRule="atLeast"/>
      <w:ind w:left="-1037"/>
    </w:pPr>
    <w:rPr>
      <w:rFonts w:ascii="Times New Roman" w:hAnsi="Times New Roman"/>
      <w:kern w:val="52"/>
      <w:sz w:val="48"/>
      <w:szCs w:val="48"/>
    </w:rPr>
  </w:style>
  <w:style w:type="paragraph" w:customStyle="1" w:styleId="z-reportnumber--ESCnumberifapplicable">
    <w:name w:val="z-report number--ESC number (if applicable)"/>
    <w:basedOn w:val="z-reportnumber--SEInumber"/>
    <w:next w:val="z-program-name"/>
    <w:rsid w:val="007D5AA6"/>
  </w:style>
  <w:style w:type="paragraph" w:customStyle="1" w:styleId="z-author-third-line">
    <w:name w:val="z-author-third-line"/>
    <w:basedOn w:val="z-author-second-line"/>
    <w:next w:val="z-author-fourth-line"/>
    <w:rsid w:val="007D5AA6"/>
  </w:style>
  <w:style w:type="table" w:styleId="TableContemporary">
    <w:name w:val="Table Contemporary"/>
    <w:basedOn w:val="TableNormal"/>
    <w:rsid w:val="00A40AE9"/>
    <w:pPr>
      <w:spacing w:line="300" w:lineRule="atLeast"/>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TableHeading">
    <w:name w:val="Table Heading"/>
    <w:qFormat/>
    <w:rsid w:val="00516971"/>
    <w:pPr>
      <w:keepNext/>
      <w:spacing w:before="40" w:after="40" w:line="200" w:lineRule="atLeast"/>
    </w:pPr>
    <w:rPr>
      <w:rFonts w:ascii="Arial" w:hAnsi="Arial"/>
      <w:b/>
      <w:sz w:val="16"/>
      <w:szCs w:val="18"/>
    </w:rPr>
  </w:style>
  <w:style w:type="paragraph" w:customStyle="1" w:styleId="Body-LessSpaceAfter">
    <w:name w:val="Body - Less Space After"/>
    <w:basedOn w:val="Body"/>
    <w:rsid w:val="00F61CA6"/>
    <w:pPr>
      <w:spacing w:after="0"/>
    </w:pPr>
  </w:style>
  <w:style w:type="paragraph" w:customStyle="1" w:styleId="Body-LessSpaceBefore">
    <w:name w:val="Body - Less Space Before"/>
    <w:basedOn w:val="Body"/>
    <w:rsid w:val="00F61CA6"/>
    <w:pPr>
      <w:spacing w:before="0"/>
    </w:pPr>
  </w:style>
  <w:style w:type="paragraph" w:customStyle="1" w:styleId="zui-user-information">
    <w:name w:val="z ui-user-information"/>
    <w:rsid w:val="00616A8B"/>
    <w:pPr>
      <w:spacing w:before="60" w:after="60" w:line="200" w:lineRule="exact"/>
      <w:ind w:left="288"/>
    </w:pPr>
    <w:rPr>
      <w:rFonts w:ascii="Arial Narrow" w:hAnsi="Arial Narrow"/>
      <w:sz w:val="16"/>
    </w:rPr>
  </w:style>
  <w:style w:type="paragraph" w:customStyle="1" w:styleId="zt2title2">
    <w:name w:val="z t2 title2"/>
    <w:rsid w:val="008B203A"/>
    <w:pPr>
      <w:widowControl w:val="0"/>
      <w:spacing w:line="200" w:lineRule="atLeast"/>
      <w:ind w:left="360"/>
    </w:pPr>
    <w:rPr>
      <w:rFonts w:ascii="Helvetica" w:hAnsi="Helvetica"/>
      <w:i/>
      <w:color w:val="000000"/>
      <w:sz w:val="16"/>
    </w:rPr>
  </w:style>
  <w:style w:type="paragraph" w:customStyle="1" w:styleId="zt3-title-3">
    <w:name w:val="z t3-title-3"/>
    <w:rsid w:val="008B203A"/>
    <w:rPr>
      <w:rFonts w:ascii="Arial" w:hAnsi="Arial"/>
      <w:noProof/>
      <w:sz w:val="12"/>
    </w:rPr>
  </w:style>
  <w:style w:type="paragraph" w:customStyle="1" w:styleId="zt1-title-1">
    <w:name w:val="z t1-title-1"/>
    <w:rsid w:val="008B203A"/>
    <w:pPr>
      <w:jc w:val="center"/>
    </w:pPr>
    <w:rPr>
      <w:rFonts w:ascii="Arial" w:hAnsi="Arial"/>
      <w:b/>
      <w:noProof/>
      <w:sz w:val="32"/>
    </w:rPr>
  </w:style>
  <w:style w:type="paragraph" w:customStyle="1" w:styleId="zt4-title-4">
    <w:name w:val="z t4-title-4"/>
    <w:next w:val="zui-user-information"/>
    <w:rsid w:val="008B203A"/>
    <w:pPr>
      <w:tabs>
        <w:tab w:val="left" w:pos="288"/>
      </w:tabs>
      <w:ind w:left="288" w:hanging="288"/>
    </w:pPr>
    <w:rPr>
      <w:rFonts w:ascii="Arial Narrow" w:hAnsi="Arial Narrow"/>
      <w:b/>
      <w:smallCaps/>
      <w:noProof/>
      <w:sz w:val="16"/>
    </w:rPr>
  </w:style>
  <w:style w:type="paragraph" w:customStyle="1" w:styleId="zt5-title-5">
    <w:name w:val="z t5-title-5"/>
    <w:basedOn w:val="zt4-title-4"/>
    <w:next w:val="zui-user-information"/>
    <w:rsid w:val="008B203A"/>
    <w:pPr>
      <w:ind w:left="0" w:firstLine="0"/>
    </w:pPr>
  </w:style>
  <w:style w:type="paragraph" w:customStyle="1" w:styleId="zsignaturepagetext">
    <w:name w:val="z signature page text"/>
    <w:next w:val="Normal"/>
    <w:rsid w:val="000160E8"/>
    <w:pPr>
      <w:spacing w:before="160" w:after="160" w:line="240" w:lineRule="atLeast"/>
    </w:pPr>
    <w:rPr>
      <w:noProof/>
      <w:kern w:val="20"/>
      <w:sz w:val="18"/>
    </w:rPr>
  </w:style>
  <w:style w:type="character" w:styleId="FootnoteReference">
    <w:name w:val="footnote reference"/>
    <w:basedOn w:val="DefaultParagraphFont"/>
    <w:semiHidden/>
    <w:rsid w:val="00DA11FF"/>
    <w:rPr>
      <w:vertAlign w:val="superscript"/>
    </w:rPr>
  </w:style>
  <w:style w:type="paragraph" w:customStyle="1" w:styleId="Default">
    <w:name w:val="Default"/>
    <w:rsid w:val="007558F3"/>
    <w:pPr>
      <w:autoSpaceDE w:val="0"/>
      <w:autoSpaceDN w:val="0"/>
      <w:adjustRightInd w:val="0"/>
    </w:pPr>
    <w:rPr>
      <w:color w:val="000000"/>
      <w:sz w:val="24"/>
      <w:szCs w:val="24"/>
    </w:rPr>
  </w:style>
  <w:style w:type="character" w:customStyle="1" w:styleId="Bib-AuthorChar">
    <w:name w:val="Bib-Author Char"/>
    <w:basedOn w:val="DefaultParagraphFont"/>
    <w:link w:val="Bib-Author"/>
    <w:rsid w:val="00621E1B"/>
    <w:rPr>
      <w:rFonts w:ascii="Arial" w:hAnsi="Arial"/>
      <w:b/>
      <w:noProof/>
      <w:kern w:val="20"/>
      <w:sz w:val="22"/>
      <w:szCs w:val="18"/>
      <w:lang w:val="en-US" w:eastAsia="en-US" w:bidi="ar-SA"/>
    </w:rPr>
  </w:style>
  <w:style w:type="paragraph" w:customStyle="1" w:styleId="zsignaturepagetextfirstline">
    <w:name w:val="z signature page text first line"/>
    <w:basedOn w:val="zsignaturepagetext"/>
    <w:rsid w:val="007B4AC4"/>
    <w:pPr>
      <w:spacing w:before="1200" w:after="100"/>
    </w:pPr>
  </w:style>
  <w:style w:type="paragraph" w:customStyle="1" w:styleId="TableBody">
    <w:name w:val="Table Body"/>
    <w:basedOn w:val="Normal"/>
    <w:qFormat/>
    <w:rsid w:val="007B4AC4"/>
    <w:pPr>
      <w:spacing w:before="20" w:after="20" w:line="200" w:lineRule="atLeast"/>
    </w:pPr>
    <w:rPr>
      <w:rFonts w:ascii="Arial" w:hAnsi="Arial" w:cs="Arial"/>
      <w:sz w:val="16"/>
      <w:szCs w:val="18"/>
    </w:rPr>
  </w:style>
  <w:style w:type="paragraph" w:customStyle="1" w:styleId="Footnote">
    <w:name w:val="Footnote"/>
    <w:basedOn w:val="Body"/>
    <w:rsid w:val="005E70AC"/>
    <w:pPr>
      <w:tabs>
        <w:tab w:val="clear" w:pos="216"/>
        <w:tab w:val="left" w:pos="360"/>
      </w:tabs>
      <w:spacing w:before="0" w:after="160" w:line="200" w:lineRule="atLeast"/>
      <w:ind w:left="360" w:hanging="360"/>
    </w:pPr>
    <w:rPr>
      <w:rFonts w:ascii="Arial" w:hAnsi="Arial"/>
      <w:color w:val="auto"/>
      <w:sz w:val="16"/>
      <w:szCs w:val="16"/>
    </w:rPr>
  </w:style>
  <w:style w:type="paragraph" w:customStyle="1" w:styleId="z-title-last-page">
    <w:name w:val="z-title-last-page"/>
    <w:basedOn w:val="Normal"/>
    <w:rsid w:val="001330D7"/>
    <w:pPr>
      <w:suppressAutoHyphens/>
      <w:spacing w:before="1600" w:line="600" w:lineRule="exact"/>
    </w:pPr>
    <w:rPr>
      <w:rFonts w:ascii="Times New Roman" w:hAnsi="Times New Roman"/>
      <w:kern w:val="52"/>
      <w:sz w:val="48"/>
      <w:szCs w:val="48"/>
    </w:rPr>
  </w:style>
  <w:style w:type="character" w:customStyle="1" w:styleId="Heading1-AppendixChar">
    <w:name w:val="Heading 1 - Appendix Char"/>
    <w:basedOn w:val="Heading1-nonumChar"/>
    <w:link w:val="Heading1-Appendix"/>
    <w:rsid w:val="007F358A"/>
    <w:rPr>
      <w:rFonts w:ascii="Arial" w:hAnsi="Arial"/>
      <w:b/>
      <w:kern w:val="40"/>
      <w:sz w:val="28"/>
      <w:szCs w:val="28"/>
    </w:rPr>
  </w:style>
  <w:style w:type="paragraph" w:customStyle="1" w:styleId="Body-MoreSpaceBeforeandLessSpaceAfter">
    <w:name w:val="Body - More Space Before and Less Space After"/>
    <w:basedOn w:val="Body"/>
    <w:rsid w:val="00260E92"/>
    <w:pPr>
      <w:spacing w:before="160" w:after="0"/>
    </w:pPr>
  </w:style>
  <w:style w:type="paragraph" w:customStyle="1" w:styleId="Glossary-Entry">
    <w:name w:val="Glossary-Entry"/>
    <w:basedOn w:val="Bib-Entry"/>
    <w:next w:val="Glossary-Term"/>
    <w:rsid w:val="00861F49"/>
  </w:style>
  <w:style w:type="paragraph" w:customStyle="1" w:styleId="Glossary-Term">
    <w:name w:val="Glossary-Term"/>
    <w:basedOn w:val="Normal"/>
    <w:next w:val="Glossary-Entry"/>
    <w:rsid w:val="00423078"/>
    <w:pPr>
      <w:keepNext/>
      <w:spacing w:before="300" w:line="240" w:lineRule="atLeast"/>
    </w:pPr>
    <w:rPr>
      <w:rFonts w:ascii="Arial" w:hAnsi="Arial"/>
      <w:b/>
      <w:kern w:val="22"/>
    </w:rPr>
  </w:style>
  <w:style w:type="character" w:customStyle="1" w:styleId="Heading2Char">
    <w:name w:val="Heading 2 Char"/>
    <w:basedOn w:val="DefaultParagraphFont"/>
    <w:link w:val="Heading2"/>
    <w:rsid w:val="00B76740"/>
    <w:rPr>
      <w:rFonts w:ascii="Arial" w:hAnsi="Arial"/>
      <w:b/>
      <w:color w:val="00357F"/>
      <w:kern w:val="32"/>
      <w:sz w:val="24"/>
    </w:rPr>
  </w:style>
  <w:style w:type="character" w:customStyle="1" w:styleId="Heading2-nonumChar">
    <w:name w:val="Heading 2 - nonum Char"/>
    <w:basedOn w:val="Heading2Char"/>
    <w:link w:val="Heading2-nonum"/>
    <w:rsid w:val="00B675C1"/>
    <w:rPr>
      <w:rFonts w:ascii="Arial" w:hAnsi="Arial"/>
      <w:b/>
      <w:color w:val="00357F"/>
      <w:kern w:val="32"/>
      <w:sz w:val="21"/>
    </w:rPr>
  </w:style>
  <w:style w:type="character" w:customStyle="1" w:styleId="Heading3Char">
    <w:name w:val="Heading 3 Char"/>
    <w:basedOn w:val="DefaultParagraphFont"/>
    <w:link w:val="Heading3"/>
    <w:rsid w:val="00223E4B"/>
    <w:rPr>
      <w:rFonts w:ascii="Arial" w:hAnsi="Arial"/>
      <w:b/>
      <w:color w:val="00357F"/>
      <w:kern w:val="28"/>
      <w:sz w:val="21"/>
    </w:rPr>
  </w:style>
  <w:style w:type="character" w:customStyle="1" w:styleId="Heading3-nonumChar">
    <w:name w:val="Heading 3 - nonum Char"/>
    <w:basedOn w:val="Heading3Char"/>
    <w:link w:val="Heading3-nonum"/>
    <w:rsid w:val="00B675C1"/>
    <w:rPr>
      <w:rFonts w:ascii="Arial" w:hAnsi="Arial"/>
      <w:b/>
      <w:color w:val="00357F"/>
      <w:kern w:val="28"/>
      <w:sz w:val="21"/>
    </w:rPr>
  </w:style>
  <w:style w:type="paragraph" w:styleId="BalloonText">
    <w:name w:val="Balloon Text"/>
    <w:basedOn w:val="Normal"/>
    <w:link w:val="BalloonTextChar"/>
    <w:rsid w:val="008A523B"/>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rsid w:val="008A523B"/>
    <w:rPr>
      <w:rFonts w:ascii="Tahoma" w:hAnsi="Tahoma" w:cs="Tahoma"/>
      <w:sz w:val="16"/>
      <w:szCs w:val="16"/>
    </w:rPr>
  </w:style>
  <w:style w:type="paragraph" w:customStyle="1" w:styleId="Bib-Entry-IEEE">
    <w:name w:val="Bib-Entry-IEEE"/>
    <w:basedOn w:val="Bib-Entry"/>
    <w:semiHidden/>
    <w:rsid w:val="00DA4229"/>
    <w:pPr>
      <w:tabs>
        <w:tab w:val="clear" w:pos="216"/>
        <w:tab w:val="left" w:pos="576"/>
      </w:tabs>
      <w:spacing w:after="300"/>
      <w:ind w:left="576" w:hanging="576"/>
    </w:pPr>
  </w:style>
  <w:style w:type="paragraph" w:styleId="NormalWeb">
    <w:name w:val="Normal (Web)"/>
    <w:basedOn w:val="Body"/>
    <w:uiPriority w:val="99"/>
    <w:unhideWhenUsed/>
    <w:rsid w:val="00143EBB"/>
  </w:style>
  <w:style w:type="paragraph" w:customStyle="1" w:styleId="z-url">
    <w:name w:val="z-url"/>
    <w:basedOn w:val="z-distribution-statement"/>
    <w:rsid w:val="0072758E"/>
    <w:pPr>
      <w:spacing w:after="40"/>
    </w:pPr>
  </w:style>
  <w:style w:type="character" w:customStyle="1" w:styleId="FooterChar">
    <w:name w:val="Footer Char"/>
    <w:basedOn w:val="DefaultParagraphFont"/>
    <w:link w:val="Footer"/>
    <w:rsid w:val="00E96189"/>
    <w:rPr>
      <w:rFonts w:ascii="Arial" w:hAnsi="Arial"/>
      <w:noProof/>
      <w:sz w:val="18"/>
    </w:rPr>
  </w:style>
  <w:style w:type="paragraph" w:styleId="CommentText">
    <w:name w:val="annotation text"/>
    <w:basedOn w:val="Normal"/>
    <w:link w:val="CommentTextChar"/>
    <w:rsid w:val="00185985"/>
    <w:pPr>
      <w:spacing w:line="240" w:lineRule="auto"/>
    </w:pPr>
    <w:rPr>
      <w:sz w:val="20"/>
    </w:rPr>
  </w:style>
  <w:style w:type="character" w:customStyle="1" w:styleId="CommentTextChar">
    <w:name w:val="Comment Text Char"/>
    <w:basedOn w:val="DefaultParagraphFont"/>
    <w:link w:val="CommentText"/>
    <w:rsid w:val="00185985"/>
    <w:rPr>
      <w:rFonts w:ascii="Times" w:hAnsi="Times"/>
    </w:rPr>
  </w:style>
  <w:style w:type="character" w:styleId="CommentReference">
    <w:name w:val="annotation reference"/>
    <w:basedOn w:val="DefaultParagraphFont"/>
    <w:unhideWhenUsed/>
    <w:rsid w:val="00185985"/>
    <w:rPr>
      <w:sz w:val="16"/>
      <w:szCs w:val="16"/>
    </w:rPr>
  </w:style>
  <w:style w:type="paragraph" w:styleId="Header">
    <w:name w:val="header"/>
    <w:basedOn w:val="Normal"/>
    <w:link w:val="HeaderChar"/>
    <w:rsid w:val="00E638D9"/>
    <w:pPr>
      <w:tabs>
        <w:tab w:val="center" w:pos="4680"/>
        <w:tab w:val="right" w:pos="9360"/>
      </w:tabs>
      <w:spacing w:before="0" w:line="240" w:lineRule="auto"/>
    </w:pPr>
  </w:style>
  <w:style w:type="character" w:customStyle="1" w:styleId="HeaderChar">
    <w:name w:val="Header Char"/>
    <w:basedOn w:val="DefaultParagraphFont"/>
    <w:link w:val="Header"/>
    <w:rsid w:val="00E638D9"/>
    <w:rPr>
      <w:rFonts w:ascii="Times" w:hAnsi="Times"/>
      <w:sz w:val="21"/>
    </w:rPr>
  </w:style>
  <w:style w:type="table" w:styleId="TableGrid">
    <w:name w:val="Table Grid"/>
    <w:basedOn w:val="TableNormal"/>
    <w:rsid w:val="003015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07194"/>
    <w:pPr>
      <w:spacing w:before="0" w:line="240" w:lineRule="auto"/>
      <w:ind w:left="720"/>
    </w:pPr>
    <w:rPr>
      <w:rFonts w:ascii="Calibri" w:eastAsiaTheme="minorHAnsi" w:hAnsi="Calibri" w:cs="Calibri"/>
      <w:sz w:val="22"/>
      <w:szCs w:val="22"/>
    </w:rPr>
  </w:style>
  <w:style w:type="table" w:styleId="LightList">
    <w:name w:val="Light List"/>
    <w:basedOn w:val="TableNormal"/>
    <w:uiPriority w:val="61"/>
    <w:rsid w:val="0019413F"/>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FootnoteTextChar">
    <w:name w:val="Footnote Text Char"/>
    <w:basedOn w:val="DefaultParagraphFont"/>
    <w:link w:val="FootnoteText"/>
    <w:uiPriority w:val="99"/>
    <w:semiHidden/>
    <w:rsid w:val="006A3B81"/>
    <w:rPr>
      <w:rFonts w:ascii="Arial" w:hAnsi="Arial"/>
      <w:color w:val="00357F"/>
      <w:kern w:val="20"/>
      <w:sz w:val="16"/>
      <w:szCs w:val="16"/>
    </w:rPr>
  </w:style>
  <w:style w:type="paragraph" w:customStyle="1" w:styleId="TableParagraph">
    <w:name w:val="Table Paragraph"/>
    <w:basedOn w:val="Normal"/>
    <w:uiPriority w:val="1"/>
    <w:qFormat/>
    <w:rsid w:val="006A3B81"/>
    <w:pPr>
      <w:widowControl w:val="0"/>
      <w:spacing w:before="0" w:line="240" w:lineRule="auto"/>
    </w:pPr>
    <w:rPr>
      <w:rFonts w:asciiTheme="minorHAnsi" w:eastAsiaTheme="minorHAnsi" w:hAnsiTheme="minorHAnsi" w:cstheme="minorBidi"/>
      <w:sz w:val="22"/>
      <w:szCs w:val="22"/>
    </w:rPr>
  </w:style>
  <w:style w:type="table" w:styleId="LightList-Accent1">
    <w:name w:val="Light List Accent 1"/>
    <w:basedOn w:val="TableNormal"/>
    <w:uiPriority w:val="61"/>
    <w:rsid w:val="006A3B81"/>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ommentSubject">
    <w:name w:val="annotation subject"/>
    <w:basedOn w:val="CommentText"/>
    <w:next w:val="CommentText"/>
    <w:link w:val="CommentSubjectChar"/>
    <w:semiHidden/>
    <w:unhideWhenUsed/>
    <w:rsid w:val="00FA27E5"/>
    <w:rPr>
      <w:b/>
      <w:bCs/>
    </w:rPr>
  </w:style>
  <w:style w:type="character" w:customStyle="1" w:styleId="CommentSubjectChar">
    <w:name w:val="Comment Subject Char"/>
    <w:basedOn w:val="CommentTextChar"/>
    <w:link w:val="CommentSubject"/>
    <w:semiHidden/>
    <w:rsid w:val="00FA27E5"/>
    <w:rPr>
      <w:rFonts w:ascii="Times" w:hAnsi="Times"/>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lsdException w:name="heading 6" w:semiHidden="0" w:unhideWhenUsed="0"/>
    <w:lsdException w:name="toc 1" w:uiPriority="39"/>
    <w:lsdException w:name="toc 2" w:uiPriority="39"/>
    <w:lsdException w:name="toc 3" w:uiPriority="39"/>
    <w:lsdException w:name="toc 4" w:uiPriority="39"/>
    <w:lsdException w:name="toc 5"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sid w:val="003778B0"/>
    <w:pPr>
      <w:spacing w:before="80" w:line="290" w:lineRule="atLeast"/>
    </w:pPr>
    <w:rPr>
      <w:rFonts w:ascii="Times" w:hAnsi="Times"/>
      <w:sz w:val="21"/>
    </w:rPr>
  </w:style>
  <w:style w:type="paragraph" w:styleId="Heading1">
    <w:name w:val="heading 1"/>
    <w:basedOn w:val="Heading1frontmatteronly"/>
    <w:next w:val="Body"/>
    <w:qFormat/>
    <w:rsid w:val="0080380A"/>
    <w:pPr>
      <w:pageBreakBefore/>
      <w:numPr>
        <w:numId w:val="1"/>
      </w:numPr>
      <w:pBdr>
        <w:top w:val="single" w:sz="2" w:space="2" w:color="auto"/>
      </w:pBdr>
      <w:suppressAutoHyphens/>
      <w:outlineLvl w:val="0"/>
    </w:pPr>
    <w:rPr>
      <w:kern w:val="28"/>
    </w:rPr>
  </w:style>
  <w:style w:type="paragraph" w:styleId="Heading2">
    <w:name w:val="heading 2"/>
    <w:basedOn w:val="Normal"/>
    <w:next w:val="Body"/>
    <w:link w:val="Heading2Char"/>
    <w:qFormat/>
    <w:rsid w:val="00B76740"/>
    <w:pPr>
      <w:keepNext/>
      <w:numPr>
        <w:ilvl w:val="1"/>
        <w:numId w:val="1"/>
      </w:numPr>
      <w:tabs>
        <w:tab w:val="num" w:pos="432"/>
      </w:tabs>
      <w:suppressAutoHyphens/>
      <w:spacing w:before="240" w:line="280" w:lineRule="atLeast"/>
      <w:ind w:left="432" w:hanging="432"/>
      <w:outlineLvl w:val="1"/>
    </w:pPr>
    <w:rPr>
      <w:rFonts w:ascii="Arial" w:hAnsi="Arial"/>
      <w:b/>
      <w:color w:val="00357F"/>
      <w:kern w:val="32"/>
      <w:sz w:val="24"/>
    </w:rPr>
  </w:style>
  <w:style w:type="paragraph" w:styleId="Heading3">
    <w:name w:val="heading 3"/>
    <w:basedOn w:val="Normal"/>
    <w:next w:val="Body"/>
    <w:link w:val="Heading3Char"/>
    <w:qFormat/>
    <w:rsid w:val="00223E4B"/>
    <w:pPr>
      <w:keepNext/>
      <w:numPr>
        <w:ilvl w:val="2"/>
        <w:numId w:val="1"/>
      </w:numPr>
      <w:tabs>
        <w:tab w:val="num" w:pos="864"/>
      </w:tabs>
      <w:suppressAutoHyphens/>
      <w:spacing w:before="160" w:after="20" w:line="280" w:lineRule="atLeast"/>
      <w:ind w:left="864" w:hanging="864"/>
      <w:outlineLvl w:val="2"/>
    </w:pPr>
    <w:rPr>
      <w:rFonts w:ascii="Arial" w:hAnsi="Arial"/>
      <w:b/>
      <w:color w:val="00357F"/>
      <w:kern w:val="28"/>
    </w:rPr>
  </w:style>
  <w:style w:type="paragraph" w:styleId="Heading4">
    <w:name w:val="heading 4"/>
    <w:basedOn w:val="Normal"/>
    <w:next w:val="Body"/>
    <w:qFormat/>
    <w:rsid w:val="0080380A"/>
    <w:pPr>
      <w:keepNext/>
      <w:numPr>
        <w:ilvl w:val="3"/>
        <w:numId w:val="1"/>
      </w:numPr>
      <w:suppressAutoHyphens/>
      <w:spacing w:line="280" w:lineRule="atLeast"/>
      <w:outlineLvl w:val="3"/>
    </w:pPr>
    <w:rPr>
      <w:rFonts w:ascii="Arial" w:hAnsi="Arial"/>
      <w:b/>
      <w:sz w:val="18"/>
      <w:szCs w:val="18"/>
    </w:rPr>
  </w:style>
  <w:style w:type="paragraph" w:styleId="Heading5">
    <w:name w:val="heading 5"/>
    <w:basedOn w:val="Normal"/>
    <w:rsid w:val="00DC1845"/>
    <w:pPr>
      <w:numPr>
        <w:ilvl w:val="4"/>
        <w:numId w:val="1"/>
      </w:numPr>
      <w:spacing w:line="280" w:lineRule="atLeast"/>
      <w:outlineLvl w:val="4"/>
    </w:pPr>
    <w:rPr>
      <w:rFonts w:ascii="Arial" w:hAnsi="Arial"/>
      <w:i/>
      <w:sz w:val="18"/>
      <w:szCs w:val="18"/>
    </w:rPr>
  </w:style>
  <w:style w:type="paragraph" w:styleId="Heading6">
    <w:name w:val="heading 6"/>
    <w:basedOn w:val="Normal"/>
    <w:rsid w:val="00915E92"/>
    <w:pPr>
      <w:numPr>
        <w:ilvl w:val="5"/>
        <w:numId w:val="1"/>
      </w:numPr>
      <w:spacing w:line="280" w:lineRule="atLeast"/>
      <w:outlineLvl w:val="5"/>
    </w:pPr>
    <w:rPr>
      <w:rFonts w:ascii="Times New Roman" w:hAnsi="Times New Roman"/>
      <w:i/>
      <w:color w:val="00357F"/>
      <w:sz w:val="17"/>
      <w:szCs w:val="17"/>
    </w:rPr>
  </w:style>
  <w:style w:type="paragraph" w:styleId="Heading7">
    <w:name w:val="heading 7"/>
    <w:basedOn w:val="Normal"/>
    <w:rsid w:val="00195C50"/>
    <w:pPr>
      <w:numPr>
        <w:ilvl w:val="6"/>
        <w:numId w:val="1"/>
      </w:numPr>
      <w:spacing w:before="240" w:after="60"/>
      <w:outlineLvl w:val="6"/>
    </w:pPr>
    <w:rPr>
      <w:rFonts w:ascii="Arial" w:hAnsi="Arial"/>
      <w:noProof/>
      <w:sz w:val="20"/>
    </w:rPr>
  </w:style>
  <w:style w:type="paragraph" w:styleId="Heading8">
    <w:name w:val="heading 8"/>
    <w:basedOn w:val="Normal"/>
    <w:rsid w:val="00195C50"/>
    <w:pPr>
      <w:numPr>
        <w:ilvl w:val="7"/>
        <w:numId w:val="1"/>
      </w:numPr>
      <w:spacing w:before="240" w:after="60"/>
      <w:outlineLvl w:val="7"/>
    </w:pPr>
    <w:rPr>
      <w:rFonts w:ascii="Arial" w:hAnsi="Arial"/>
      <w:i/>
      <w:noProof/>
      <w:sz w:val="20"/>
    </w:rPr>
  </w:style>
  <w:style w:type="paragraph" w:styleId="Heading9">
    <w:name w:val="heading 9"/>
    <w:basedOn w:val="Normal"/>
    <w:rsid w:val="00195C50"/>
    <w:pPr>
      <w:numPr>
        <w:ilvl w:val="8"/>
        <w:numId w:val="1"/>
      </w:numPr>
      <w:spacing w:before="240" w:after="60"/>
      <w:outlineLvl w:val="8"/>
    </w:pPr>
    <w:rPr>
      <w:rFonts w:ascii="Arial" w:hAnsi="Arial"/>
      <w:b/>
      <w:i/>
      <w:noProof/>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frontmatteronly">
    <w:name w:val="Heading 1 (front matter only)"/>
    <w:link w:val="Heading1frontmatteronlyChar"/>
    <w:qFormat/>
    <w:rsid w:val="0072758E"/>
    <w:pPr>
      <w:keepNext/>
      <w:pBdr>
        <w:top w:val="single" w:sz="2" w:space="1" w:color="000000"/>
      </w:pBdr>
      <w:spacing w:after="700" w:line="340" w:lineRule="atLeast"/>
    </w:pPr>
    <w:rPr>
      <w:rFonts w:ascii="Arial" w:hAnsi="Arial"/>
      <w:b/>
      <w:kern w:val="36"/>
      <w:sz w:val="28"/>
      <w:szCs w:val="28"/>
    </w:rPr>
  </w:style>
  <w:style w:type="paragraph" w:customStyle="1" w:styleId="Body">
    <w:name w:val="Body"/>
    <w:qFormat/>
    <w:rsid w:val="0061023D"/>
    <w:pPr>
      <w:tabs>
        <w:tab w:val="left" w:pos="216"/>
      </w:tabs>
      <w:spacing w:before="180" w:after="180" w:line="280" w:lineRule="atLeast"/>
    </w:pPr>
    <w:rPr>
      <w:color w:val="000000"/>
      <w:kern w:val="22"/>
      <w:sz w:val="21"/>
    </w:rPr>
  </w:style>
  <w:style w:type="paragraph" w:customStyle="1" w:styleId="Code-Example">
    <w:name w:val="Code-Example"/>
    <w:rsid w:val="008717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line="240" w:lineRule="atLeast"/>
    </w:pPr>
    <w:rPr>
      <w:rFonts w:ascii="Courier New" w:hAnsi="Courier New"/>
      <w:noProof/>
      <w:sz w:val="18"/>
      <w:szCs w:val="17"/>
    </w:rPr>
  </w:style>
  <w:style w:type="paragraph" w:customStyle="1" w:styleId="z-ui-user-information">
    <w:name w:val="z-ui-user-information"/>
    <w:rsid w:val="00195C50"/>
    <w:pPr>
      <w:spacing w:before="60" w:after="60" w:line="240" w:lineRule="exact"/>
      <w:ind w:left="288"/>
    </w:pPr>
    <w:rPr>
      <w:rFonts w:ascii="Arial Narrow" w:hAnsi="Arial Narrow"/>
    </w:rPr>
  </w:style>
  <w:style w:type="paragraph" w:customStyle="1" w:styleId="Quotation">
    <w:name w:val="Quotation"/>
    <w:next w:val="Body"/>
    <w:qFormat/>
    <w:rsid w:val="00A003BA"/>
    <w:pPr>
      <w:spacing w:before="80" w:after="80" w:line="250" w:lineRule="atLeast"/>
      <w:ind w:left="432"/>
    </w:pPr>
    <w:rPr>
      <w:i/>
      <w:color w:val="00357F"/>
      <w:kern w:val="22"/>
      <w:sz w:val="21"/>
    </w:rPr>
  </w:style>
  <w:style w:type="paragraph" w:customStyle="1" w:styleId="z-logo-CMU">
    <w:name w:val="z-logo-CMU"/>
    <w:basedOn w:val="Footer"/>
    <w:rsid w:val="002855EB"/>
  </w:style>
  <w:style w:type="paragraph" w:styleId="Footer">
    <w:name w:val="footer"/>
    <w:basedOn w:val="Normal"/>
    <w:link w:val="FooterChar"/>
    <w:rsid w:val="00195C50"/>
    <w:pPr>
      <w:widowControl w:val="0"/>
      <w:tabs>
        <w:tab w:val="center" w:pos="4320"/>
        <w:tab w:val="right" w:pos="8640"/>
      </w:tabs>
      <w:spacing w:line="240" w:lineRule="atLeast"/>
      <w:jc w:val="both"/>
    </w:pPr>
    <w:rPr>
      <w:rFonts w:ascii="Arial" w:hAnsi="Arial"/>
      <w:noProof/>
      <w:sz w:val="18"/>
    </w:rPr>
  </w:style>
  <w:style w:type="paragraph" w:styleId="Index1">
    <w:name w:val="index 1"/>
    <w:basedOn w:val="Normal"/>
    <w:semiHidden/>
    <w:rsid w:val="00195C50"/>
    <w:pPr>
      <w:tabs>
        <w:tab w:val="left" w:pos="360"/>
      </w:tabs>
      <w:spacing w:line="240" w:lineRule="atLeast"/>
      <w:ind w:left="360" w:hanging="360"/>
    </w:pPr>
    <w:rPr>
      <w:rFonts w:ascii="Times New Roman" w:hAnsi="Times New Roman"/>
      <w:noProof/>
      <w:kern w:val="22"/>
      <w:sz w:val="22"/>
    </w:rPr>
  </w:style>
  <w:style w:type="paragraph" w:customStyle="1" w:styleId="ListBulleted1">
    <w:name w:val="List Bulleted 1"/>
    <w:qFormat/>
    <w:rsid w:val="003F35B0"/>
    <w:pPr>
      <w:numPr>
        <w:numId w:val="2"/>
      </w:numPr>
      <w:tabs>
        <w:tab w:val="clear" w:pos="360"/>
        <w:tab w:val="left" w:pos="432"/>
      </w:tabs>
      <w:spacing w:before="20" w:after="60" w:line="290" w:lineRule="atLeast"/>
      <w:ind w:left="432" w:hanging="432"/>
    </w:pPr>
    <w:rPr>
      <w:kern w:val="22"/>
      <w:sz w:val="21"/>
    </w:rPr>
  </w:style>
  <w:style w:type="paragraph" w:customStyle="1" w:styleId="ListBulleted2">
    <w:name w:val="List Bulleted 2"/>
    <w:qFormat/>
    <w:rsid w:val="00680CAC"/>
    <w:pPr>
      <w:numPr>
        <w:numId w:val="3"/>
      </w:numPr>
      <w:spacing w:before="20" w:after="20" w:line="290" w:lineRule="atLeast"/>
    </w:pPr>
    <w:rPr>
      <w:kern w:val="20"/>
      <w:sz w:val="21"/>
    </w:rPr>
  </w:style>
  <w:style w:type="paragraph" w:styleId="TOC3">
    <w:name w:val="toc 3"/>
    <w:basedOn w:val="Normal"/>
    <w:uiPriority w:val="39"/>
    <w:rsid w:val="00BC608E"/>
    <w:pPr>
      <w:tabs>
        <w:tab w:val="left" w:pos="1224"/>
        <w:tab w:val="right" w:pos="8280"/>
      </w:tabs>
      <w:spacing w:before="200" w:after="20" w:line="200" w:lineRule="atLeast"/>
      <w:ind w:left="1224" w:hanging="1224"/>
    </w:pPr>
    <w:rPr>
      <w:rFonts w:ascii="Arial" w:hAnsi="Arial"/>
      <w:b/>
      <w:noProof/>
      <w:kern w:val="22"/>
      <w:sz w:val="18"/>
      <w:szCs w:val="18"/>
    </w:rPr>
  </w:style>
  <w:style w:type="paragraph" w:styleId="TOC1">
    <w:name w:val="toc 1"/>
    <w:next w:val="TOC2"/>
    <w:uiPriority w:val="39"/>
    <w:rsid w:val="00FB58E7"/>
    <w:pPr>
      <w:tabs>
        <w:tab w:val="left" w:pos="504"/>
        <w:tab w:val="right" w:pos="8280"/>
      </w:tabs>
      <w:spacing w:before="200" w:after="40" w:line="200" w:lineRule="atLeast"/>
      <w:ind w:left="504" w:hanging="504"/>
    </w:pPr>
    <w:rPr>
      <w:rFonts w:ascii="Arial" w:hAnsi="Arial"/>
      <w:b/>
      <w:noProof/>
      <w:kern w:val="22"/>
      <w:sz w:val="18"/>
      <w:szCs w:val="18"/>
    </w:rPr>
  </w:style>
  <w:style w:type="paragraph" w:styleId="TOC2">
    <w:name w:val="toc 2"/>
    <w:uiPriority w:val="39"/>
    <w:rsid w:val="00FB58E7"/>
    <w:pPr>
      <w:tabs>
        <w:tab w:val="right" w:pos="8280"/>
      </w:tabs>
      <w:spacing w:before="200" w:after="20" w:line="200" w:lineRule="atLeast"/>
    </w:pPr>
    <w:rPr>
      <w:rFonts w:ascii="Arial" w:hAnsi="Arial"/>
      <w:b/>
      <w:noProof/>
      <w:kern w:val="22"/>
      <w:sz w:val="18"/>
      <w:szCs w:val="18"/>
    </w:rPr>
  </w:style>
  <w:style w:type="paragraph" w:styleId="TOC4">
    <w:name w:val="toc 4"/>
    <w:basedOn w:val="Normal"/>
    <w:uiPriority w:val="39"/>
    <w:rsid w:val="004F1321"/>
    <w:pPr>
      <w:tabs>
        <w:tab w:val="left" w:pos="1008"/>
        <w:tab w:val="right" w:pos="8280"/>
      </w:tabs>
      <w:spacing w:before="20" w:after="20" w:line="220" w:lineRule="exact"/>
      <w:ind w:left="1008" w:hanging="504"/>
    </w:pPr>
    <w:rPr>
      <w:rFonts w:ascii="Arial" w:hAnsi="Arial"/>
      <w:noProof/>
      <w:kern w:val="22"/>
      <w:sz w:val="18"/>
      <w:szCs w:val="18"/>
    </w:rPr>
  </w:style>
  <w:style w:type="paragraph" w:styleId="TOC5">
    <w:name w:val="toc 5"/>
    <w:basedOn w:val="Normal"/>
    <w:uiPriority w:val="39"/>
    <w:rsid w:val="004F1321"/>
    <w:pPr>
      <w:tabs>
        <w:tab w:val="left" w:pos="1008"/>
        <w:tab w:val="left" w:pos="1920"/>
        <w:tab w:val="right" w:pos="8280"/>
      </w:tabs>
      <w:spacing w:before="20" w:after="20" w:line="220" w:lineRule="exact"/>
      <w:ind w:left="1627" w:hanging="619"/>
    </w:pPr>
    <w:rPr>
      <w:rFonts w:ascii="Arial" w:hAnsi="Arial"/>
      <w:noProof/>
      <w:sz w:val="18"/>
      <w:szCs w:val="18"/>
    </w:rPr>
  </w:style>
  <w:style w:type="paragraph" w:styleId="TOC6">
    <w:name w:val="toc 6"/>
    <w:basedOn w:val="Normal"/>
    <w:semiHidden/>
    <w:rsid w:val="00195C50"/>
    <w:pPr>
      <w:tabs>
        <w:tab w:val="right" w:leader="dot" w:pos="5141"/>
      </w:tabs>
      <w:ind w:left="1200"/>
    </w:pPr>
    <w:rPr>
      <w:rFonts w:ascii="Times New Roman" w:hAnsi="Times New Roman"/>
      <w:noProof/>
      <w:sz w:val="20"/>
    </w:rPr>
  </w:style>
  <w:style w:type="paragraph" w:styleId="TOC7">
    <w:name w:val="toc 7"/>
    <w:basedOn w:val="Normal"/>
    <w:semiHidden/>
    <w:rsid w:val="00195C50"/>
    <w:pPr>
      <w:tabs>
        <w:tab w:val="right" w:leader="dot" w:pos="5141"/>
      </w:tabs>
      <w:ind w:left="1440"/>
    </w:pPr>
    <w:rPr>
      <w:rFonts w:ascii="Times New Roman" w:hAnsi="Times New Roman"/>
      <w:noProof/>
      <w:sz w:val="20"/>
    </w:rPr>
  </w:style>
  <w:style w:type="paragraph" w:styleId="TOC8">
    <w:name w:val="toc 8"/>
    <w:basedOn w:val="Normal"/>
    <w:semiHidden/>
    <w:rsid w:val="00195C50"/>
    <w:pPr>
      <w:tabs>
        <w:tab w:val="right" w:leader="dot" w:pos="5141"/>
      </w:tabs>
      <w:ind w:left="1680"/>
    </w:pPr>
    <w:rPr>
      <w:rFonts w:ascii="Times New Roman" w:hAnsi="Times New Roman"/>
      <w:noProof/>
      <w:sz w:val="20"/>
    </w:rPr>
  </w:style>
  <w:style w:type="paragraph" w:styleId="TOC9">
    <w:name w:val="toc 9"/>
    <w:basedOn w:val="Normal"/>
    <w:semiHidden/>
    <w:rsid w:val="00195C50"/>
    <w:pPr>
      <w:tabs>
        <w:tab w:val="right" w:leader="dot" w:pos="5141"/>
      </w:tabs>
      <w:ind w:left="1920"/>
    </w:pPr>
    <w:rPr>
      <w:rFonts w:ascii="Times New Roman" w:hAnsi="Times New Roman"/>
      <w:noProof/>
      <w:sz w:val="20"/>
    </w:rPr>
  </w:style>
  <w:style w:type="character" w:styleId="PageNumber">
    <w:name w:val="page number"/>
    <w:basedOn w:val="DefaultParagraphFont"/>
    <w:rsid w:val="002273A4"/>
    <w:rPr>
      <w:rFonts w:ascii="Arial" w:hAnsi="Arial"/>
      <w:caps/>
      <w:color w:val="00357F"/>
      <w:sz w:val="15"/>
      <w:szCs w:val="15"/>
      <w:u w:val="none"/>
      <w:lang w:val="en-US"/>
    </w:rPr>
  </w:style>
  <w:style w:type="paragraph" w:styleId="Caption">
    <w:name w:val="caption"/>
    <w:next w:val="Body"/>
    <w:qFormat/>
    <w:rsid w:val="00A01547"/>
    <w:pPr>
      <w:tabs>
        <w:tab w:val="left" w:pos="864"/>
      </w:tabs>
      <w:spacing w:before="160" w:after="40" w:line="220" w:lineRule="atLeast"/>
      <w:ind w:left="864" w:hanging="864"/>
    </w:pPr>
    <w:rPr>
      <w:rFonts w:ascii="Arial" w:hAnsi="Arial"/>
      <w:i/>
      <w:color w:val="000000"/>
      <w:kern w:val="22"/>
      <w:sz w:val="18"/>
      <w:szCs w:val="19"/>
    </w:rPr>
  </w:style>
  <w:style w:type="paragraph" w:customStyle="1" w:styleId="Body-MoreSpaceBefore">
    <w:name w:val="Body - More Space Before"/>
    <w:basedOn w:val="Body"/>
    <w:rsid w:val="00362097"/>
    <w:pPr>
      <w:spacing w:before="160"/>
    </w:pPr>
  </w:style>
  <w:style w:type="paragraph" w:customStyle="1" w:styleId="Body-MoreSpaceAfter">
    <w:name w:val="Body - More Space After"/>
    <w:basedOn w:val="Body"/>
    <w:rsid w:val="00362097"/>
    <w:pPr>
      <w:spacing w:after="160"/>
    </w:pPr>
  </w:style>
  <w:style w:type="paragraph" w:styleId="FootnoteText">
    <w:name w:val="footnote text"/>
    <w:basedOn w:val="Normal"/>
    <w:link w:val="FootnoteTextChar"/>
    <w:semiHidden/>
    <w:rsid w:val="004B79B5"/>
    <w:pPr>
      <w:tabs>
        <w:tab w:val="left" w:pos="360"/>
      </w:tabs>
      <w:spacing w:before="0" w:after="160" w:line="180" w:lineRule="atLeast"/>
      <w:ind w:left="360" w:hanging="360"/>
    </w:pPr>
    <w:rPr>
      <w:rFonts w:ascii="Arial" w:hAnsi="Arial"/>
      <w:color w:val="00357F"/>
      <w:kern w:val="20"/>
      <w:sz w:val="16"/>
      <w:szCs w:val="16"/>
    </w:rPr>
  </w:style>
  <w:style w:type="paragraph" w:customStyle="1" w:styleId="ListNumbered1">
    <w:name w:val="List Numbered 1"/>
    <w:basedOn w:val="Body"/>
    <w:qFormat/>
    <w:rsid w:val="00D94402"/>
    <w:pPr>
      <w:numPr>
        <w:numId w:val="4"/>
      </w:numPr>
      <w:tabs>
        <w:tab w:val="left" w:pos="432"/>
      </w:tabs>
      <w:spacing w:before="20" w:after="60"/>
    </w:pPr>
  </w:style>
  <w:style w:type="paragraph" w:customStyle="1" w:styleId="Bib-Author">
    <w:name w:val="Bib-Author"/>
    <w:next w:val="Bib-Entry"/>
    <w:link w:val="Bib-AuthorChar"/>
    <w:qFormat/>
    <w:rsid w:val="00621E1B"/>
    <w:pPr>
      <w:keepNext/>
      <w:spacing w:before="300" w:line="260" w:lineRule="exact"/>
    </w:pPr>
    <w:rPr>
      <w:rFonts w:ascii="Arial" w:hAnsi="Arial"/>
      <w:b/>
      <w:noProof/>
      <w:kern w:val="20"/>
      <w:sz w:val="22"/>
      <w:szCs w:val="18"/>
    </w:rPr>
  </w:style>
  <w:style w:type="paragraph" w:customStyle="1" w:styleId="Bib-Entry">
    <w:name w:val="Bib-Entry"/>
    <w:basedOn w:val="Body"/>
    <w:next w:val="Bib-Author"/>
    <w:qFormat/>
    <w:rsid w:val="002C4B60"/>
    <w:pPr>
      <w:spacing w:before="0" w:after="0" w:line="260" w:lineRule="atLeast"/>
    </w:pPr>
    <w:rPr>
      <w:szCs w:val="18"/>
    </w:rPr>
  </w:style>
  <w:style w:type="paragraph" w:customStyle="1" w:styleId="Heading2-nonum">
    <w:name w:val="Heading 2 - nonum"/>
    <w:basedOn w:val="Heading2"/>
    <w:next w:val="Body"/>
    <w:link w:val="Heading2-nonumChar"/>
    <w:qFormat/>
    <w:rsid w:val="00B675C1"/>
    <w:pPr>
      <w:numPr>
        <w:ilvl w:val="0"/>
        <w:numId w:val="0"/>
      </w:numPr>
      <w:tabs>
        <w:tab w:val="left" w:pos="720"/>
      </w:tabs>
    </w:pPr>
  </w:style>
  <w:style w:type="paragraph" w:customStyle="1" w:styleId="Heading3-nonum">
    <w:name w:val="Heading 3 - nonum"/>
    <w:basedOn w:val="Heading3"/>
    <w:next w:val="Body"/>
    <w:link w:val="Heading3-nonumChar"/>
    <w:qFormat/>
    <w:rsid w:val="00B675C1"/>
    <w:pPr>
      <w:numPr>
        <w:ilvl w:val="0"/>
        <w:numId w:val="0"/>
      </w:numPr>
      <w:tabs>
        <w:tab w:val="left" w:pos="1008"/>
      </w:tabs>
    </w:pPr>
  </w:style>
  <w:style w:type="paragraph" w:customStyle="1" w:styleId="Heading4-nonum">
    <w:name w:val="Heading 4 - nonum"/>
    <w:next w:val="Body"/>
    <w:rsid w:val="00487D43"/>
    <w:pPr>
      <w:keepNext/>
      <w:tabs>
        <w:tab w:val="left" w:pos="1008"/>
      </w:tabs>
      <w:suppressAutoHyphens/>
      <w:spacing w:before="80" w:line="280" w:lineRule="atLeast"/>
      <w:outlineLvl w:val="3"/>
    </w:pPr>
    <w:rPr>
      <w:rFonts w:ascii="Arial" w:hAnsi="Arial"/>
      <w:b/>
      <w:sz w:val="18"/>
      <w:szCs w:val="18"/>
    </w:rPr>
  </w:style>
  <w:style w:type="character" w:customStyle="1" w:styleId="Heading1frontmatteronlyChar">
    <w:name w:val="Heading 1 (front matter only) Char"/>
    <w:basedOn w:val="DefaultParagraphFont"/>
    <w:link w:val="Heading1frontmatteronly"/>
    <w:rsid w:val="0072758E"/>
    <w:rPr>
      <w:rFonts w:ascii="Arial" w:hAnsi="Arial"/>
      <w:b/>
      <w:kern w:val="36"/>
      <w:sz w:val="28"/>
      <w:szCs w:val="28"/>
    </w:rPr>
  </w:style>
  <w:style w:type="paragraph" w:styleId="Index2">
    <w:name w:val="index 2"/>
    <w:basedOn w:val="Normal"/>
    <w:semiHidden/>
    <w:rsid w:val="00195C50"/>
    <w:pPr>
      <w:tabs>
        <w:tab w:val="left" w:pos="360"/>
      </w:tabs>
      <w:spacing w:line="240" w:lineRule="atLeast"/>
      <w:ind w:left="720" w:hanging="360"/>
    </w:pPr>
    <w:rPr>
      <w:rFonts w:ascii="Times New Roman" w:hAnsi="Times New Roman"/>
      <w:noProof/>
      <w:kern w:val="18"/>
      <w:sz w:val="22"/>
    </w:rPr>
  </w:style>
  <w:style w:type="paragraph" w:styleId="Index3">
    <w:name w:val="index 3"/>
    <w:basedOn w:val="Normal"/>
    <w:semiHidden/>
    <w:rsid w:val="00195C50"/>
    <w:pPr>
      <w:spacing w:line="240" w:lineRule="atLeast"/>
      <w:ind w:left="720"/>
    </w:pPr>
    <w:rPr>
      <w:rFonts w:ascii="Times New Roman" w:hAnsi="Times New Roman"/>
      <w:noProof/>
      <w:sz w:val="22"/>
    </w:rPr>
  </w:style>
  <w:style w:type="paragraph" w:styleId="Index4">
    <w:name w:val="index 4"/>
    <w:basedOn w:val="Normal"/>
    <w:semiHidden/>
    <w:rsid w:val="00195C50"/>
    <w:pPr>
      <w:tabs>
        <w:tab w:val="right" w:pos="3773"/>
      </w:tabs>
      <w:ind w:left="960" w:hanging="240"/>
    </w:pPr>
    <w:rPr>
      <w:rFonts w:ascii="Times New Roman" w:hAnsi="Times New Roman"/>
      <w:sz w:val="18"/>
    </w:rPr>
  </w:style>
  <w:style w:type="paragraph" w:styleId="Index5">
    <w:name w:val="index 5"/>
    <w:basedOn w:val="Normal"/>
    <w:semiHidden/>
    <w:rsid w:val="00195C50"/>
    <w:pPr>
      <w:tabs>
        <w:tab w:val="right" w:pos="3773"/>
      </w:tabs>
      <w:ind w:left="1200" w:hanging="240"/>
    </w:pPr>
    <w:rPr>
      <w:rFonts w:ascii="Times New Roman" w:hAnsi="Times New Roman"/>
      <w:sz w:val="18"/>
    </w:rPr>
  </w:style>
  <w:style w:type="paragraph" w:styleId="Index6">
    <w:name w:val="index 6"/>
    <w:basedOn w:val="Normal"/>
    <w:semiHidden/>
    <w:rsid w:val="00195C50"/>
    <w:pPr>
      <w:tabs>
        <w:tab w:val="right" w:pos="3773"/>
      </w:tabs>
      <w:ind w:left="1440" w:hanging="240"/>
    </w:pPr>
    <w:rPr>
      <w:rFonts w:ascii="Times New Roman" w:hAnsi="Times New Roman"/>
      <w:sz w:val="18"/>
    </w:rPr>
  </w:style>
  <w:style w:type="paragraph" w:styleId="Index7">
    <w:name w:val="index 7"/>
    <w:basedOn w:val="Normal"/>
    <w:semiHidden/>
    <w:rsid w:val="00195C50"/>
    <w:pPr>
      <w:tabs>
        <w:tab w:val="right" w:pos="3773"/>
      </w:tabs>
      <w:ind w:left="1680" w:hanging="240"/>
    </w:pPr>
    <w:rPr>
      <w:rFonts w:ascii="Times New Roman" w:hAnsi="Times New Roman"/>
      <w:sz w:val="18"/>
    </w:rPr>
  </w:style>
  <w:style w:type="paragraph" w:styleId="Index8">
    <w:name w:val="index 8"/>
    <w:basedOn w:val="Normal"/>
    <w:semiHidden/>
    <w:rsid w:val="00195C50"/>
    <w:pPr>
      <w:tabs>
        <w:tab w:val="right" w:pos="3773"/>
      </w:tabs>
      <w:ind w:left="1920" w:hanging="240"/>
    </w:pPr>
    <w:rPr>
      <w:rFonts w:ascii="Times New Roman" w:hAnsi="Times New Roman"/>
      <w:sz w:val="18"/>
    </w:rPr>
  </w:style>
  <w:style w:type="paragraph" w:styleId="Index9">
    <w:name w:val="index 9"/>
    <w:basedOn w:val="Normal"/>
    <w:semiHidden/>
    <w:rsid w:val="00195C50"/>
    <w:pPr>
      <w:tabs>
        <w:tab w:val="right" w:pos="3773"/>
      </w:tabs>
      <w:ind w:left="2160" w:hanging="240"/>
    </w:pPr>
    <w:rPr>
      <w:rFonts w:ascii="Times New Roman" w:hAnsi="Times New Roman"/>
      <w:sz w:val="18"/>
    </w:rPr>
  </w:style>
  <w:style w:type="paragraph" w:customStyle="1" w:styleId="Heading1-nonum">
    <w:name w:val="Heading 1- nonum"/>
    <w:basedOn w:val="Heading1frontmatteronly"/>
    <w:next w:val="Body"/>
    <w:link w:val="Heading1-nonumChar"/>
    <w:rsid w:val="00487D43"/>
    <w:pPr>
      <w:pageBreakBefore/>
      <w:tabs>
        <w:tab w:val="left" w:pos="2606"/>
      </w:tabs>
      <w:outlineLvl w:val="0"/>
    </w:pPr>
    <w:rPr>
      <w:kern w:val="40"/>
    </w:rPr>
  </w:style>
  <w:style w:type="character" w:customStyle="1" w:styleId="ListMultilist2Char">
    <w:name w:val="List Multilist 2 Char"/>
    <w:basedOn w:val="DefaultParagraphFont"/>
    <w:link w:val="ListMultilist2"/>
    <w:rsid w:val="00171D28"/>
    <w:rPr>
      <w:color w:val="000000"/>
      <w:kern w:val="22"/>
      <w:sz w:val="21"/>
      <w:lang w:val="en-US" w:eastAsia="en-US" w:bidi="ar-SA"/>
    </w:rPr>
  </w:style>
  <w:style w:type="paragraph" w:customStyle="1" w:styleId="ListNumbered2">
    <w:name w:val="List Numbered 2"/>
    <w:basedOn w:val="Body"/>
    <w:qFormat/>
    <w:rsid w:val="00D94402"/>
    <w:pPr>
      <w:numPr>
        <w:numId w:val="7"/>
      </w:numPr>
      <w:tabs>
        <w:tab w:val="left" w:pos="432"/>
      </w:tabs>
      <w:spacing w:before="20" w:after="60" w:line="290" w:lineRule="atLeast"/>
    </w:pPr>
  </w:style>
  <w:style w:type="character" w:customStyle="1" w:styleId="Heading1-nonumChar">
    <w:name w:val="Heading 1- nonum Char"/>
    <w:basedOn w:val="Heading1frontmatteronlyChar"/>
    <w:link w:val="Heading1-nonum"/>
    <w:rsid w:val="00487D43"/>
    <w:rPr>
      <w:rFonts w:ascii="Arial" w:hAnsi="Arial"/>
      <w:b/>
      <w:kern w:val="40"/>
      <w:sz w:val="28"/>
      <w:szCs w:val="28"/>
    </w:rPr>
  </w:style>
  <w:style w:type="paragraph" w:customStyle="1" w:styleId="ListMultilist1">
    <w:name w:val="List Multilist 1"/>
    <w:basedOn w:val="Body"/>
    <w:next w:val="Body"/>
    <w:qFormat/>
    <w:rsid w:val="00B96435"/>
    <w:pPr>
      <w:spacing w:before="20" w:after="60"/>
      <w:ind w:left="432"/>
    </w:pPr>
  </w:style>
  <w:style w:type="paragraph" w:customStyle="1" w:styleId="Blank-Spacers">
    <w:name w:val="Blank-Spacers"/>
    <w:next w:val="Body"/>
    <w:rsid w:val="00195C50"/>
    <w:rPr>
      <w:noProof/>
      <w:kern w:val="20"/>
    </w:rPr>
  </w:style>
  <w:style w:type="paragraph" w:customStyle="1" w:styleId="ListMultilist2">
    <w:name w:val="List Multilist 2"/>
    <w:basedOn w:val="Body"/>
    <w:link w:val="ListMultilist2Char"/>
    <w:qFormat/>
    <w:rsid w:val="00B96435"/>
    <w:pPr>
      <w:spacing w:before="40" w:after="20" w:line="290" w:lineRule="atLeast"/>
      <w:ind w:left="864"/>
    </w:pPr>
  </w:style>
  <w:style w:type="character" w:styleId="Hyperlink">
    <w:name w:val="Hyperlink"/>
    <w:basedOn w:val="DefaultParagraphFont"/>
    <w:uiPriority w:val="99"/>
    <w:rsid w:val="00CC2278"/>
    <w:rPr>
      <w:color w:val="000000"/>
    </w:rPr>
  </w:style>
  <w:style w:type="paragraph" w:customStyle="1" w:styleId="Heading1-Appendix">
    <w:name w:val="Heading 1 - Appendix"/>
    <w:basedOn w:val="Heading1-nonum"/>
    <w:next w:val="Body"/>
    <w:link w:val="Heading1-AppendixChar"/>
    <w:qFormat/>
    <w:rsid w:val="00266EAD"/>
    <w:pPr>
      <w:tabs>
        <w:tab w:val="clear" w:pos="2606"/>
        <w:tab w:val="left" w:pos="1800"/>
      </w:tabs>
      <w:suppressAutoHyphens/>
      <w:ind w:left="1800" w:hanging="1800"/>
    </w:pPr>
  </w:style>
  <w:style w:type="paragraph" w:styleId="TableofFigures">
    <w:name w:val="table of figures"/>
    <w:basedOn w:val="Normal"/>
    <w:uiPriority w:val="99"/>
    <w:rsid w:val="00BE136C"/>
    <w:pPr>
      <w:tabs>
        <w:tab w:val="left" w:pos="1008"/>
        <w:tab w:val="right" w:pos="8280"/>
      </w:tabs>
      <w:spacing w:before="160" w:after="160" w:line="200" w:lineRule="exact"/>
      <w:ind w:left="1008" w:hanging="1008"/>
    </w:pPr>
    <w:rPr>
      <w:rFonts w:ascii="Arial" w:hAnsi="Arial"/>
      <w:noProof/>
      <w:kern w:val="22"/>
      <w:sz w:val="18"/>
      <w:szCs w:val="18"/>
    </w:rPr>
  </w:style>
  <w:style w:type="paragraph" w:customStyle="1" w:styleId="z-disclaimers">
    <w:name w:val="z-disclaimers"/>
    <w:basedOn w:val="Normal"/>
    <w:rsid w:val="008B203A"/>
    <w:rPr>
      <w:sz w:val="16"/>
      <w:szCs w:val="16"/>
    </w:rPr>
  </w:style>
  <w:style w:type="paragraph" w:styleId="IndexHeading">
    <w:name w:val="index heading"/>
    <w:basedOn w:val="Normal"/>
    <w:next w:val="Index1"/>
    <w:semiHidden/>
    <w:rsid w:val="00195C50"/>
  </w:style>
  <w:style w:type="character" w:styleId="FollowedHyperlink">
    <w:name w:val="FollowedHyperlink"/>
    <w:basedOn w:val="DefaultParagraphFont"/>
    <w:rsid w:val="00CC2278"/>
    <w:rPr>
      <w:color w:val="000000"/>
    </w:rPr>
  </w:style>
  <w:style w:type="paragraph" w:styleId="HTMLPreformatted">
    <w:name w:val="HTML Preformatted"/>
    <w:basedOn w:val="Normal"/>
    <w:rsid w:val="00D47F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rPr>
  </w:style>
  <w:style w:type="paragraph" w:customStyle="1" w:styleId="TOC">
    <w:name w:val="TOC"/>
    <w:basedOn w:val="TOC3"/>
    <w:rsid w:val="00014388"/>
    <w:pPr>
      <w:tabs>
        <w:tab w:val="right" w:pos="6840"/>
      </w:tabs>
    </w:pPr>
  </w:style>
  <w:style w:type="paragraph" w:customStyle="1" w:styleId="z-report-type">
    <w:name w:val="z-report-type"/>
    <w:next w:val="z-reportnumber--SEInumber"/>
    <w:rsid w:val="004251FB"/>
    <w:pPr>
      <w:spacing w:before="1152" w:line="200" w:lineRule="atLeast"/>
    </w:pPr>
    <w:rPr>
      <w:rFonts w:ascii="Arial" w:hAnsi="Arial"/>
      <w:b/>
      <w:caps/>
      <w:kern w:val="20"/>
      <w:sz w:val="18"/>
      <w:szCs w:val="18"/>
    </w:rPr>
  </w:style>
  <w:style w:type="paragraph" w:customStyle="1" w:styleId="z-author-second-line">
    <w:name w:val="z-author-second-line"/>
    <w:basedOn w:val="z-author-first-line"/>
    <w:next w:val="z-author-third-line"/>
    <w:rsid w:val="007D5AA6"/>
    <w:pPr>
      <w:spacing w:before="0" w:after="20"/>
    </w:pPr>
  </w:style>
  <w:style w:type="paragraph" w:customStyle="1" w:styleId="z-author-first-line">
    <w:name w:val="z-author-first-line"/>
    <w:next w:val="z-author-second-line"/>
    <w:rsid w:val="005248F6"/>
    <w:pPr>
      <w:spacing w:before="600" w:line="200" w:lineRule="atLeast"/>
    </w:pPr>
    <w:rPr>
      <w:rFonts w:ascii="Arial" w:hAnsi="Arial"/>
      <w:kern w:val="20"/>
      <w:sz w:val="18"/>
      <w:szCs w:val="18"/>
    </w:rPr>
  </w:style>
  <w:style w:type="paragraph" w:customStyle="1" w:styleId="z-author-fourth-line">
    <w:name w:val="z-author-fourth-line"/>
    <w:basedOn w:val="z-author-second-line"/>
    <w:next w:val="z-authorfifthline"/>
    <w:rsid w:val="007D5AA6"/>
  </w:style>
  <w:style w:type="paragraph" w:customStyle="1" w:styleId="z-authorfifthline">
    <w:name w:val="z-author fifth line"/>
    <w:basedOn w:val="z-author-fourth-line"/>
    <w:next w:val="z-date"/>
    <w:rsid w:val="007D5AA6"/>
  </w:style>
  <w:style w:type="paragraph" w:customStyle="1" w:styleId="z-date">
    <w:name w:val="z-date"/>
    <w:next w:val="z-report-type"/>
    <w:rsid w:val="007D5AA6"/>
    <w:pPr>
      <w:spacing w:before="720" w:after="200" w:line="280" w:lineRule="atLeast"/>
    </w:pPr>
    <w:rPr>
      <w:rFonts w:ascii="Arial" w:hAnsi="Arial"/>
      <w:b/>
      <w:noProof/>
      <w:kern w:val="20"/>
      <w:sz w:val="18"/>
      <w:szCs w:val="18"/>
    </w:rPr>
  </w:style>
  <w:style w:type="paragraph" w:customStyle="1" w:styleId="z-program-name">
    <w:name w:val="z-program-name"/>
    <w:next w:val="z-distribution-statement"/>
    <w:rsid w:val="007D5AA6"/>
    <w:pPr>
      <w:spacing w:before="1000" w:line="200" w:lineRule="atLeast"/>
    </w:pPr>
    <w:rPr>
      <w:rFonts w:ascii="Arial" w:hAnsi="Arial"/>
      <w:b/>
      <w:kern w:val="20"/>
      <w:sz w:val="18"/>
      <w:szCs w:val="18"/>
    </w:rPr>
  </w:style>
  <w:style w:type="paragraph" w:customStyle="1" w:styleId="z-signature-page-text">
    <w:name w:val="z-signature-page-text"/>
    <w:next w:val="Normal"/>
    <w:rsid w:val="009745E9"/>
    <w:pPr>
      <w:spacing w:line="220" w:lineRule="exact"/>
      <w:ind w:right="-1080"/>
    </w:pPr>
    <w:rPr>
      <w:rFonts w:ascii="Arial" w:hAnsi="Arial"/>
      <w:noProof/>
      <w:kern w:val="20"/>
      <w:sz w:val="18"/>
    </w:rPr>
  </w:style>
  <w:style w:type="paragraph" w:customStyle="1" w:styleId="z-title">
    <w:name w:val="z-title"/>
    <w:next w:val="z-author-first-line"/>
    <w:rsid w:val="00CC2278"/>
    <w:pPr>
      <w:suppressAutoHyphens/>
      <w:spacing w:before="1600" w:line="600" w:lineRule="exact"/>
    </w:pPr>
    <w:rPr>
      <w:kern w:val="52"/>
      <w:sz w:val="48"/>
      <w:szCs w:val="48"/>
    </w:rPr>
  </w:style>
  <w:style w:type="paragraph" w:customStyle="1" w:styleId="z-reportnumber--SEInumber">
    <w:name w:val="z-report number--SEI number"/>
    <w:basedOn w:val="z-report-type"/>
    <w:next w:val="z-reportnumber--ESCnumberifapplicable"/>
    <w:rsid w:val="007D5AA6"/>
    <w:pPr>
      <w:spacing w:before="0"/>
    </w:pPr>
    <w:rPr>
      <w:b w:val="0"/>
    </w:rPr>
  </w:style>
  <w:style w:type="paragraph" w:customStyle="1" w:styleId="z-distribution-statement">
    <w:name w:val="z-distribution-statement"/>
    <w:basedOn w:val="Normal"/>
    <w:next w:val="z-url"/>
    <w:rsid w:val="00442508"/>
    <w:pPr>
      <w:spacing w:before="0" w:after="180" w:line="220" w:lineRule="atLeast"/>
    </w:pPr>
    <w:rPr>
      <w:rFonts w:ascii="Arial" w:hAnsi="Arial"/>
      <w:kern w:val="20"/>
      <w:sz w:val="18"/>
      <w:szCs w:val="15"/>
    </w:rPr>
  </w:style>
  <w:style w:type="paragraph" w:customStyle="1" w:styleId="z-Signature-Page-Text-Scondras-Line">
    <w:name w:val="z-Signature-Page-Text-Scondras-Line"/>
    <w:basedOn w:val="z-signature-page-text"/>
    <w:rsid w:val="007D5AA6"/>
    <w:pPr>
      <w:spacing w:line="240" w:lineRule="atLeast"/>
      <w:ind w:left="-288"/>
    </w:pPr>
  </w:style>
  <w:style w:type="paragraph" w:customStyle="1" w:styleId="z-logo-SEI">
    <w:name w:val="z-logo-SEI"/>
    <w:basedOn w:val="Normal"/>
    <w:rsid w:val="007D5AA6"/>
    <w:pPr>
      <w:spacing w:before="300" w:line="240" w:lineRule="atLeast"/>
      <w:ind w:left="-1037"/>
    </w:pPr>
    <w:rPr>
      <w:rFonts w:ascii="Times New Roman" w:hAnsi="Times New Roman"/>
      <w:kern w:val="52"/>
      <w:sz w:val="48"/>
      <w:szCs w:val="48"/>
    </w:rPr>
  </w:style>
  <w:style w:type="paragraph" w:customStyle="1" w:styleId="z-reportnumber--ESCnumberifapplicable">
    <w:name w:val="z-report number--ESC number (if applicable)"/>
    <w:basedOn w:val="z-reportnumber--SEInumber"/>
    <w:next w:val="z-program-name"/>
    <w:rsid w:val="007D5AA6"/>
  </w:style>
  <w:style w:type="paragraph" w:customStyle="1" w:styleId="z-author-third-line">
    <w:name w:val="z-author-third-line"/>
    <w:basedOn w:val="z-author-second-line"/>
    <w:next w:val="z-author-fourth-line"/>
    <w:rsid w:val="007D5AA6"/>
  </w:style>
  <w:style w:type="table" w:styleId="TableContemporary">
    <w:name w:val="Table Contemporary"/>
    <w:basedOn w:val="TableNormal"/>
    <w:rsid w:val="00A40AE9"/>
    <w:pPr>
      <w:spacing w:line="300" w:lineRule="atLeast"/>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TableHeading">
    <w:name w:val="Table Heading"/>
    <w:qFormat/>
    <w:rsid w:val="00516971"/>
    <w:pPr>
      <w:keepNext/>
      <w:spacing w:before="40" w:after="40" w:line="200" w:lineRule="atLeast"/>
    </w:pPr>
    <w:rPr>
      <w:rFonts w:ascii="Arial" w:hAnsi="Arial"/>
      <w:b/>
      <w:sz w:val="16"/>
      <w:szCs w:val="18"/>
    </w:rPr>
  </w:style>
  <w:style w:type="paragraph" w:customStyle="1" w:styleId="Body-LessSpaceAfter">
    <w:name w:val="Body - Less Space After"/>
    <w:basedOn w:val="Body"/>
    <w:rsid w:val="00F61CA6"/>
    <w:pPr>
      <w:spacing w:after="0"/>
    </w:pPr>
  </w:style>
  <w:style w:type="paragraph" w:customStyle="1" w:styleId="Body-LessSpaceBefore">
    <w:name w:val="Body - Less Space Before"/>
    <w:basedOn w:val="Body"/>
    <w:rsid w:val="00F61CA6"/>
    <w:pPr>
      <w:spacing w:before="0"/>
    </w:pPr>
  </w:style>
  <w:style w:type="paragraph" w:customStyle="1" w:styleId="zui-user-information">
    <w:name w:val="z ui-user-information"/>
    <w:rsid w:val="00616A8B"/>
    <w:pPr>
      <w:spacing w:before="60" w:after="60" w:line="200" w:lineRule="exact"/>
      <w:ind w:left="288"/>
    </w:pPr>
    <w:rPr>
      <w:rFonts w:ascii="Arial Narrow" w:hAnsi="Arial Narrow"/>
      <w:sz w:val="16"/>
    </w:rPr>
  </w:style>
  <w:style w:type="paragraph" w:customStyle="1" w:styleId="zt2title2">
    <w:name w:val="z t2 title2"/>
    <w:rsid w:val="008B203A"/>
    <w:pPr>
      <w:widowControl w:val="0"/>
      <w:spacing w:line="200" w:lineRule="atLeast"/>
      <w:ind w:left="360"/>
    </w:pPr>
    <w:rPr>
      <w:rFonts w:ascii="Helvetica" w:hAnsi="Helvetica"/>
      <w:i/>
      <w:color w:val="000000"/>
      <w:sz w:val="16"/>
    </w:rPr>
  </w:style>
  <w:style w:type="paragraph" w:customStyle="1" w:styleId="zt3-title-3">
    <w:name w:val="z t3-title-3"/>
    <w:rsid w:val="008B203A"/>
    <w:rPr>
      <w:rFonts w:ascii="Arial" w:hAnsi="Arial"/>
      <w:noProof/>
      <w:sz w:val="12"/>
    </w:rPr>
  </w:style>
  <w:style w:type="paragraph" w:customStyle="1" w:styleId="zt1-title-1">
    <w:name w:val="z t1-title-1"/>
    <w:rsid w:val="008B203A"/>
    <w:pPr>
      <w:jc w:val="center"/>
    </w:pPr>
    <w:rPr>
      <w:rFonts w:ascii="Arial" w:hAnsi="Arial"/>
      <w:b/>
      <w:noProof/>
      <w:sz w:val="32"/>
    </w:rPr>
  </w:style>
  <w:style w:type="paragraph" w:customStyle="1" w:styleId="zt4-title-4">
    <w:name w:val="z t4-title-4"/>
    <w:next w:val="zui-user-information"/>
    <w:rsid w:val="008B203A"/>
    <w:pPr>
      <w:tabs>
        <w:tab w:val="left" w:pos="288"/>
      </w:tabs>
      <w:ind w:left="288" w:hanging="288"/>
    </w:pPr>
    <w:rPr>
      <w:rFonts w:ascii="Arial Narrow" w:hAnsi="Arial Narrow"/>
      <w:b/>
      <w:smallCaps/>
      <w:noProof/>
      <w:sz w:val="16"/>
    </w:rPr>
  </w:style>
  <w:style w:type="paragraph" w:customStyle="1" w:styleId="zt5-title-5">
    <w:name w:val="z t5-title-5"/>
    <w:basedOn w:val="zt4-title-4"/>
    <w:next w:val="zui-user-information"/>
    <w:rsid w:val="008B203A"/>
    <w:pPr>
      <w:ind w:left="0" w:firstLine="0"/>
    </w:pPr>
  </w:style>
  <w:style w:type="paragraph" w:customStyle="1" w:styleId="zsignaturepagetext">
    <w:name w:val="z signature page text"/>
    <w:next w:val="Normal"/>
    <w:rsid w:val="000160E8"/>
    <w:pPr>
      <w:spacing w:before="160" w:after="160" w:line="240" w:lineRule="atLeast"/>
    </w:pPr>
    <w:rPr>
      <w:noProof/>
      <w:kern w:val="20"/>
      <w:sz w:val="18"/>
    </w:rPr>
  </w:style>
  <w:style w:type="character" w:styleId="FootnoteReference">
    <w:name w:val="footnote reference"/>
    <w:basedOn w:val="DefaultParagraphFont"/>
    <w:semiHidden/>
    <w:rsid w:val="00DA11FF"/>
    <w:rPr>
      <w:vertAlign w:val="superscript"/>
    </w:rPr>
  </w:style>
  <w:style w:type="paragraph" w:customStyle="1" w:styleId="Default">
    <w:name w:val="Default"/>
    <w:rsid w:val="007558F3"/>
    <w:pPr>
      <w:autoSpaceDE w:val="0"/>
      <w:autoSpaceDN w:val="0"/>
      <w:adjustRightInd w:val="0"/>
    </w:pPr>
    <w:rPr>
      <w:color w:val="000000"/>
      <w:sz w:val="24"/>
      <w:szCs w:val="24"/>
    </w:rPr>
  </w:style>
  <w:style w:type="character" w:customStyle="1" w:styleId="Bib-AuthorChar">
    <w:name w:val="Bib-Author Char"/>
    <w:basedOn w:val="DefaultParagraphFont"/>
    <w:link w:val="Bib-Author"/>
    <w:rsid w:val="00621E1B"/>
    <w:rPr>
      <w:rFonts w:ascii="Arial" w:hAnsi="Arial"/>
      <w:b/>
      <w:noProof/>
      <w:kern w:val="20"/>
      <w:sz w:val="22"/>
      <w:szCs w:val="18"/>
      <w:lang w:val="en-US" w:eastAsia="en-US" w:bidi="ar-SA"/>
    </w:rPr>
  </w:style>
  <w:style w:type="paragraph" w:customStyle="1" w:styleId="zsignaturepagetextfirstline">
    <w:name w:val="z signature page text first line"/>
    <w:basedOn w:val="zsignaturepagetext"/>
    <w:rsid w:val="007B4AC4"/>
    <w:pPr>
      <w:spacing w:before="1200" w:after="100"/>
    </w:pPr>
  </w:style>
  <w:style w:type="paragraph" w:customStyle="1" w:styleId="TableBody">
    <w:name w:val="Table Body"/>
    <w:basedOn w:val="Normal"/>
    <w:qFormat/>
    <w:rsid w:val="007B4AC4"/>
    <w:pPr>
      <w:spacing w:before="20" w:after="20" w:line="200" w:lineRule="atLeast"/>
    </w:pPr>
    <w:rPr>
      <w:rFonts w:ascii="Arial" w:hAnsi="Arial" w:cs="Arial"/>
      <w:sz w:val="16"/>
      <w:szCs w:val="18"/>
    </w:rPr>
  </w:style>
  <w:style w:type="paragraph" w:customStyle="1" w:styleId="Footnote">
    <w:name w:val="Footnote"/>
    <w:basedOn w:val="Body"/>
    <w:rsid w:val="005E70AC"/>
    <w:pPr>
      <w:tabs>
        <w:tab w:val="clear" w:pos="216"/>
        <w:tab w:val="left" w:pos="360"/>
      </w:tabs>
      <w:spacing w:before="0" w:after="160" w:line="200" w:lineRule="atLeast"/>
      <w:ind w:left="360" w:hanging="360"/>
    </w:pPr>
    <w:rPr>
      <w:rFonts w:ascii="Arial" w:hAnsi="Arial"/>
      <w:color w:val="auto"/>
      <w:sz w:val="16"/>
      <w:szCs w:val="16"/>
    </w:rPr>
  </w:style>
  <w:style w:type="paragraph" w:customStyle="1" w:styleId="z-title-last-page">
    <w:name w:val="z-title-last-page"/>
    <w:basedOn w:val="Normal"/>
    <w:rsid w:val="001330D7"/>
    <w:pPr>
      <w:suppressAutoHyphens/>
      <w:spacing w:before="1600" w:line="600" w:lineRule="exact"/>
    </w:pPr>
    <w:rPr>
      <w:rFonts w:ascii="Times New Roman" w:hAnsi="Times New Roman"/>
      <w:kern w:val="52"/>
      <w:sz w:val="48"/>
      <w:szCs w:val="48"/>
    </w:rPr>
  </w:style>
  <w:style w:type="character" w:customStyle="1" w:styleId="Heading1-AppendixChar">
    <w:name w:val="Heading 1 - Appendix Char"/>
    <w:basedOn w:val="Heading1-nonumChar"/>
    <w:link w:val="Heading1-Appendix"/>
    <w:rsid w:val="007F358A"/>
    <w:rPr>
      <w:rFonts w:ascii="Arial" w:hAnsi="Arial"/>
      <w:b/>
      <w:kern w:val="40"/>
      <w:sz w:val="28"/>
      <w:szCs w:val="28"/>
    </w:rPr>
  </w:style>
  <w:style w:type="paragraph" w:customStyle="1" w:styleId="Body-MoreSpaceBeforeandLessSpaceAfter">
    <w:name w:val="Body - More Space Before and Less Space After"/>
    <w:basedOn w:val="Body"/>
    <w:rsid w:val="00260E92"/>
    <w:pPr>
      <w:spacing w:before="160" w:after="0"/>
    </w:pPr>
  </w:style>
  <w:style w:type="paragraph" w:customStyle="1" w:styleId="Glossary-Entry">
    <w:name w:val="Glossary-Entry"/>
    <w:basedOn w:val="Bib-Entry"/>
    <w:next w:val="Glossary-Term"/>
    <w:rsid w:val="00861F49"/>
  </w:style>
  <w:style w:type="paragraph" w:customStyle="1" w:styleId="Glossary-Term">
    <w:name w:val="Glossary-Term"/>
    <w:basedOn w:val="Normal"/>
    <w:next w:val="Glossary-Entry"/>
    <w:rsid w:val="00423078"/>
    <w:pPr>
      <w:keepNext/>
      <w:spacing w:before="300" w:line="240" w:lineRule="atLeast"/>
    </w:pPr>
    <w:rPr>
      <w:rFonts w:ascii="Arial" w:hAnsi="Arial"/>
      <w:b/>
      <w:kern w:val="22"/>
    </w:rPr>
  </w:style>
  <w:style w:type="character" w:customStyle="1" w:styleId="Heading2Char">
    <w:name w:val="Heading 2 Char"/>
    <w:basedOn w:val="DefaultParagraphFont"/>
    <w:link w:val="Heading2"/>
    <w:rsid w:val="00B76740"/>
    <w:rPr>
      <w:rFonts w:ascii="Arial" w:hAnsi="Arial"/>
      <w:b/>
      <w:color w:val="00357F"/>
      <w:kern w:val="32"/>
      <w:sz w:val="24"/>
    </w:rPr>
  </w:style>
  <w:style w:type="character" w:customStyle="1" w:styleId="Heading2-nonumChar">
    <w:name w:val="Heading 2 - nonum Char"/>
    <w:basedOn w:val="Heading2Char"/>
    <w:link w:val="Heading2-nonum"/>
    <w:rsid w:val="00B675C1"/>
    <w:rPr>
      <w:rFonts w:ascii="Arial" w:hAnsi="Arial"/>
      <w:b/>
      <w:color w:val="00357F"/>
      <w:kern w:val="32"/>
      <w:sz w:val="21"/>
    </w:rPr>
  </w:style>
  <w:style w:type="character" w:customStyle="1" w:styleId="Heading3Char">
    <w:name w:val="Heading 3 Char"/>
    <w:basedOn w:val="DefaultParagraphFont"/>
    <w:link w:val="Heading3"/>
    <w:rsid w:val="00223E4B"/>
    <w:rPr>
      <w:rFonts w:ascii="Arial" w:hAnsi="Arial"/>
      <w:b/>
      <w:color w:val="00357F"/>
      <w:kern w:val="28"/>
      <w:sz w:val="21"/>
    </w:rPr>
  </w:style>
  <w:style w:type="character" w:customStyle="1" w:styleId="Heading3-nonumChar">
    <w:name w:val="Heading 3 - nonum Char"/>
    <w:basedOn w:val="Heading3Char"/>
    <w:link w:val="Heading3-nonum"/>
    <w:rsid w:val="00B675C1"/>
    <w:rPr>
      <w:rFonts w:ascii="Arial" w:hAnsi="Arial"/>
      <w:b/>
      <w:color w:val="00357F"/>
      <w:kern w:val="28"/>
      <w:sz w:val="21"/>
    </w:rPr>
  </w:style>
  <w:style w:type="paragraph" w:styleId="BalloonText">
    <w:name w:val="Balloon Text"/>
    <w:basedOn w:val="Normal"/>
    <w:link w:val="BalloonTextChar"/>
    <w:rsid w:val="008A523B"/>
    <w:pPr>
      <w:spacing w:before="0" w:line="240" w:lineRule="auto"/>
    </w:pPr>
    <w:rPr>
      <w:rFonts w:ascii="Tahoma" w:hAnsi="Tahoma" w:cs="Tahoma"/>
      <w:sz w:val="16"/>
      <w:szCs w:val="16"/>
    </w:rPr>
  </w:style>
  <w:style w:type="character" w:customStyle="1" w:styleId="BalloonTextChar">
    <w:name w:val="Balloon Text Char"/>
    <w:basedOn w:val="DefaultParagraphFont"/>
    <w:link w:val="BalloonText"/>
    <w:rsid w:val="008A523B"/>
    <w:rPr>
      <w:rFonts w:ascii="Tahoma" w:hAnsi="Tahoma" w:cs="Tahoma"/>
      <w:sz w:val="16"/>
      <w:szCs w:val="16"/>
    </w:rPr>
  </w:style>
  <w:style w:type="paragraph" w:customStyle="1" w:styleId="Bib-Entry-IEEE">
    <w:name w:val="Bib-Entry-IEEE"/>
    <w:basedOn w:val="Bib-Entry"/>
    <w:semiHidden/>
    <w:rsid w:val="00DA4229"/>
    <w:pPr>
      <w:tabs>
        <w:tab w:val="clear" w:pos="216"/>
        <w:tab w:val="left" w:pos="576"/>
      </w:tabs>
      <w:spacing w:after="300"/>
      <w:ind w:left="576" w:hanging="576"/>
    </w:pPr>
  </w:style>
  <w:style w:type="paragraph" w:styleId="NormalWeb">
    <w:name w:val="Normal (Web)"/>
    <w:basedOn w:val="Body"/>
    <w:uiPriority w:val="99"/>
    <w:unhideWhenUsed/>
    <w:rsid w:val="00143EBB"/>
  </w:style>
  <w:style w:type="paragraph" w:customStyle="1" w:styleId="z-url">
    <w:name w:val="z-url"/>
    <w:basedOn w:val="z-distribution-statement"/>
    <w:rsid w:val="0072758E"/>
    <w:pPr>
      <w:spacing w:after="40"/>
    </w:pPr>
  </w:style>
  <w:style w:type="character" w:customStyle="1" w:styleId="FooterChar">
    <w:name w:val="Footer Char"/>
    <w:basedOn w:val="DefaultParagraphFont"/>
    <w:link w:val="Footer"/>
    <w:rsid w:val="00E96189"/>
    <w:rPr>
      <w:rFonts w:ascii="Arial" w:hAnsi="Arial"/>
      <w:noProof/>
      <w:sz w:val="18"/>
    </w:rPr>
  </w:style>
  <w:style w:type="paragraph" w:styleId="CommentText">
    <w:name w:val="annotation text"/>
    <w:basedOn w:val="Normal"/>
    <w:link w:val="CommentTextChar"/>
    <w:rsid w:val="00185985"/>
    <w:pPr>
      <w:spacing w:line="240" w:lineRule="auto"/>
    </w:pPr>
    <w:rPr>
      <w:sz w:val="20"/>
    </w:rPr>
  </w:style>
  <w:style w:type="character" w:customStyle="1" w:styleId="CommentTextChar">
    <w:name w:val="Comment Text Char"/>
    <w:basedOn w:val="DefaultParagraphFont"/>
    <w:link w:val="CommentText"/>
    <w:rsid w:val="00185985"/>
    <w:rPr>
      <w:rFonts w:ascii="Times" w:hAnsi="Times"/>
    </w:rPr>
  </w:style>
  <w:style w:type="character" w:styleId="CommentReference">
    <w:name w:val="annotation reference"/>
    <w:basedOn w:val="DefaultParagraphFont"/>
    <w:unhideWhenUsed/>
    <w:rsid w:val="00185985"/>
    <w:rPr>
      <w:sz w:val="16"/>
      <w:szCs w:val="16"/>
    </w:rPr>
  </w:style>
  <w:style w:type="paragraph" w:styleId="Header">
    <w:name w:val="header"/>
    <w:basedOn w:val="Normal"/>
    <w:link w:val="HeaderChar"/>
    <w:rsid w:val="00E638D9"/>
    <w:pPr>
      <w:tabs>
        <w:tab w:val="center" w:pos="4680"/>
        <w:tab w:val="right" w:pos="9360"/>
      </w:tabs>
      <w:spacing w:before="0" w:line="240" w:lineRule="auto"/>
    </w:pPr>
  </w:style>
  <w:style w:type="character" w:customStyle="1" w:styleId="HeaderChar">
    <w:name w:val="Header Char"/>
    <w:basedOn w:val="DefaultParagraphFont"/>
    <w:link w:val="Header"/>
    <w:rsid w:val="00E638D9"/>
    <w:rPr>
      <w:rFonts w:ascii="Times" w:hAnsi="Times"/>
      <w:sz w:val="21"/>
    </w:rPr>
  </w:style>
  <w:style w:type="table" w:styleId="TableGrid">
    <w:name w:val="Table Grid"/>
    <w:basedOn w:val="TableNormal"/>
    <w:rsid w:val="003015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07194"/>
    <w:pPr>
      <w:spacing w:before="0" w:line="240" w:lineRule="auto"/>
      <w:ind w:left="720"/>
    </w:pPr>
    <w:rPr>
      <w:rFonts w:ascii="Calibri" w:eastAsiaTheme="minorHAnsi" w:hAnsi="Calibri" w:cs="Calibri"/>
      <w:sz w:val="22"/>
      <w:szCs w:val="22"/>
    </w:rPr>
  </w:style>
  <w:style w:type="table" w:styleId="LightList">
    <w:name w:val="Light List"/>
    <w:basedOn w:val="TableNormal"/>
    <w:uiPriority w:val="61"/>
    <w:rsid w:val="0019413F"/>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FootnoteTextChar">
    <w:name w:val="Footnote Text Char"/>
    <w:basedOn w:val="DefaultParagraphFont"/>
    <w:link w:val="FootnoteText"/>
    <w:uiPriority w:val="99"/>
    <w:semiHidden/>
    <w:rsid w:val="006A3B81"/>
    <w:rPr>
      <w:rFonts w:ascii="Arial" w:hAnsi="Arial"/>
      <w:color w:val="00357F"/>
      <w:kern w:val="20"/>
      <w:sz w:val="16"/>
      <w:szCs w:val="16"/>
    </w:rPr>
  </w:style>
  <w:style w:type="paragraph" w:customStyle="1" w:styleId="TableParagraph">
    <w:name w:val="Table Paragraph"/>
    <w:basedOn w:val="Normal"/>
    <w:uiPriority w:val="1"/>
    <w:qFormat/>
    <w:rsid w:val="006A3B81"/>
    <w:pPr>
      <w:widowControl w:val="0"/>
      <w:spacing w:before="0" w:line="240" w:lineRule="auto"/>
    </w:pPr>
    <w:rPr>
      <w:rFonts w:asciiTheme="minorHAnsi" w:eastAsiaTheme="minorHAnsi" w:hAnsiTheme="minorHAnsi" w:cstheme="minorBidi"/>
      <w:sz w:val="22"/>
      <w:szCs w:val="22"/>
    </w:rPr>
  </w:style>
  <w:style w:type="table" w:styleId="LightList-Accent1">
    <w:name w:val="Light List Accent 1"/>
    <w:basedOn w:val="TableNormal"/>
    <w:uiPriority w:val="61"/>
    <w:rsid w:val="006A3B81"/>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ommentSubject">
    <w:name w:val="annotation subject"/>
    <w:basedOn w:val="CommentText"/>
    <w:next w:val="CommentText"/>
    <w:link w:val="CommentSubjectChar"/>
    <w:semiHidden/>
    <w:unhideWhenUsed/>
    <w:rsid w:val="00FA27E5"/>
    <w:rPr>
      <w:b/>
      <w:bCs/>
    </w:rPr>
  </w:style>
  <w:style w:type="character" w:customStyle="1" w:styleId="CommentSubjectChar">
    <w:name w:val="Comment Subject Char"/>
    <w:basedOn w:val="CommentTextChar"/>
    <w:link w:val="CommentSubject"/>
    <w:semiHidden/>
    <w:rsid w:val="00FA27E5"/>
    <w:rPr>
      <w:rFonts w:ascii="Times" w:hAnsi="Times"/>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693054">
      <w:bodyDiv w:val="1"/>
      <w:marLeft w:val="0"/>
      <w:marRight w:val="0"/>
      <w:marTop w:val="0"/>
      <w:marBottom w:val="0"/>
      <w:divBdr>
        <w:top w:val="none" w:sz="0" w:space="0" w:color="auto"/>
        <w:left w:val="none" w:sz="0" w:space="0" w:color="auto"/>
        <w:bottom w:val="none" w:sz="0" w:space="0" w:color="auto"/>
        <w:right w:val="none" w:sz="0" w:space="0" w:color="auto"/>
      </w:divBdr>
      <w:divsChild>
        <w:div w:id="324432053">
          <w:marLeft w:val="0"/>
          <w:marRight w:val="0"/>
          <w:marTop w:val="0"/>
          <w:marBottom w:val="0"/>
          <w:divBdr>
            <w:top w:val="none" w:sz="0" w:space="0" w:color="auto"/>
            <w:left w:val="none" w:sz="0" w:space="0" w:color="auto"/>
            <w:bottom w:val="none" w:sz="0" w:space="0" w:color="auto"/>
            <w:right w:val="none" w:sz="0" w:space="0" w:color="auto"/>
          </w:divBdr>
          <w:divsChild>
            <w:div w:id="1079913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30372">
      <w:bodyDiv w:val="1"/>
      <w:marLeft w:val="0"/>
      <w:marRight w:val="0"/>
      <w:marTop w:val="0"/>
      <w:marBottom w:val="0"/>
      <w:divBdr>
        <w:top w:val="none" w:sz="0" w:space="0" w:color="auto"/>
        <w:left w:val="none" w:sz="0" w:space="0" w:color="auto"/>
        <w:bottom w:val="none" w:sz="0" w:space="0" w:color="auto"/>
        <w:right w:val="none" w:sz="0" w:space="0" w:color="auto"/>
      </w:divBdr>
    </w:div>
    <w:div w:id="336154234">
      <w:bodyDiv w:val="1"/>
      <w:marLeft w:val="0"/>
      <w:marRight w:val="0"/>
      <w:marTop w:val="0"/>
      <w:marBottom w:val="0"/>
      <w:divBdr>
        <w:top w:val="none" w:sz="0" w:space="0" w:color="auto"/>
        <w:left w:val="none" w:sz="0" w:space="0" w:color="auto"/>
        <w:bottom w:val="none" w:sz="0" w:space="0" w:color="auto"/>
        <w:right w:val="none" w:sz="0" w:space="0" w:color="auto"/>
      </w:divBdr>
    </w:div>
    <w:div w:id="372077916">
      <w:bodyDiv w:val="1"/>
      <w:marLeft w:val="0"/>
      <w:marRight w:val="0"/>
      <w:marTop w:val="0"/>
      <w:marBottom w:val="0"/>
      <w:divBdr>
        <w:top w:val="none" w:sz="0" w:space="0" w:color="auto"/>
        <w:left w:val="none" w:sz="0" w:space="0" w:color="auto"/>
        <w:bottom w:val="none" w:sz="0" w:space="0" w:color="auto"/>
        <w:right w:val="none" w:sz="0" w:space="0" w:color="auto"/>
      </w:divBdr>
    </w:div>
    <w:div w:id="569998460">
      <w:bodyDiv w:val="1"/>
      <w:marLeft w:val="0"/>
      <w:marRight w:val="0"/>
      <w:marTop w:val="0"/>
      <w:marBottom w:val="0"/>
      <w:divBdr>
        <w:top w:val="none" w:sz="0" w:space="0" w:color="auto"/>
        <w:left w:val="none" w:sz="0" w:space="0" w:color="auto"/>
        <w:bottom w:val="none" w:sz="0" w:space="0" w:color="auto"/>
        <w:right w:val="none" w:sz="0" w:space="0" w:color="auto"/>
      </w:divBdr>
    </w:div>
    <w:div w:id="696539462">
      <w:bodyDiv w:val="1"/>
      <w:marLeft w:val="0"/>
      <w:marRight w:val="0"/>
      <w:marTop w:val="0"/>
      <w:marBottom w:val="0"/>
      <w:divBdr>
        <w:top w:val="none" w:sz="0" w:space="0" w:color="auto"/>
        <w:left w:val="none" w:sz="0" w:space="0" w:color="auto"/>
        <w:bottom w:val="none" w:sz="0" w:space="0" w:color="auto"/>
        <w:right w:val="none" w:sz="0" w:space="0" w:color="auto"/>
      </w:divBdr>
    </w:div>
    <w:div w:id="784541014">
      <w:bodyDiv w:val="1"/>
      <w:marLeft w:val="0"/>
      <w:marRight w:val="0"/>
      <w:marTop w:val="0"/>
      <w:marBottom w:val="0"/>
      <w:divBdr>
        <w:top w:val="none" w:sz="0" w:space="0" w:color="auto"/>
        <w:left w:val="none" w:sz="0" w:space="0" w:color="auto"/>
        <w:bottom w:val="none" w:sz="0" w:space="0" w:color="auto"/>
        <w:right w:val="none" w:sz="0" w:space="0" w:color="auto"/>
      </w:divBdr>
    </w:div>
    <w:div w:id="958411578">
      <w:bodyDiv w:val="1"/>
      <w:marLeft w:val="0"/>
      <w:marRight w:val="0"/>
      <w:marTop w:val="0"/>
      <w:marBottom w:val="0"/>
      <w:divBdr>
        <w:top w:val="none" w:sz="0" w:space="0" w:color="auto"/>
        <w:left w:val="none" w:sz="0" w:space="0" w:color="auto"/>
        <w:bottom w:val="none" w:sz="0" w:space="0" w:color="auto"/>
        <w:right w:val="none" w:sz="0" w:space="0" w:color="auto"/>
      </w:divBdr>
    </w:div>
    <w:div w:id="1626963554">
      <w:bodyDiv w:val="1"/>
      <w:marLeft w:val="0"/>
      <w:marRight w:val="0"/>
      <w:marTop w:val="0"/>
      <w:marBottom w:val="0"/>
      <w:divBdr>
        <w:top w:val="none" w:sz="0" w:space="0" w:color="auto"/>
        <w:left w:val="none" w:sz="0" w:space="0" w:color="auto"/>
        <w:bottom w:val="none" w:sz="0" w:space="0" w:color="auto"/>
        <w:right w:val="none" w:sz="0" w:space="0" w:color="auto"/>
      </w:divBdr>
      <w:divsChild>
        <w:div w:id="1456094827">
          <w:marLeft w:val="720"/>
          <w:marRight w:val="0"/>
          <w:marTop w:val="240"/>
          <w:marBottom w:val="120"/>
          <w:divBdr>
            <w:top w:val="none" w:sz="0" w:space="0" w:color="auto"/>
            <w:left w:val="none" w:sz="0" w:space="0" w:color="auto"/>
            <w:bottom w:val="none" w:sz="0" w:space="0" w:color="auto"/>
            <w:right w:val="none" w:sz="0" w:space="0" w:color="auto"/>
          </w:divBdr>
        </w:div>
        <w:div w:id="1097747302">
          <w:marLeft w:val="720"/>
          <w:marRight w:val="0"/>
          <w:marTop w:val="240"/>
          <w:marBottom w:val="120"/>
          <w:divBdr>
            <w:top w:val="none" w:sz="0" w:space="0" w:color="auto"/>
            <w:left w:val="none" w:sz="0" w:space="0" w:color="auto"/>
            <w:bottom w:val="none" w:sz="0" w:space="0" w:color="auto"/>
            <w:right w:val="none" w:sz="0" w:space="0" w:color="auto"/>
          </w:divBdr>
        </w:div>
        <w:div w:id="1305548913">
          <w:marLeft w:val="720"/>
          <w:marRight w:val="0"/>
          <w:marTop w:val="240"/>
          <w:marBottom w:val="120"/>
          <w:divBdr>
            <w:top w:val="none" w:sz="0" w:space="0" w:color="auto"/>
            <w:left w:val="none" w:sz="0" w:space="0" w:color="auto"/>
            <w:bottom w:val="none" w:sz="0" w:space="0" w:color="auto"/>
            <w:right w:val="none" w:sz="0" w:space="0" w:color="auto"/>
          </w:divBdr>
        </w:div>
        <w:div w:id="1908027516">
          <w:marLeft w:val="720"/>
          <w:marRight w:val="0"/>
          <w:marTop w:val="240"/>
          <w:marBottom w:val="120"/>
          <w:divBdr>
            <w:top w:val="none" w:sz="0" w:space="0" w:color="auto"/>
            <w:left w:val="none" w:sz="0" w:space="0" w:color="auto"/>
            <w:bottom w:val="none" w:sz="0" w:space="0" w:color="auto"/>
            <w:right w:val="none" w:sz="0" w:space="0" w:color="auto"/>
          </w:divBdr>
        </w:div>
        <w:div w:id="1502311895">
          <w:marLeft w:val="720"/>
          <w:marRight w:val="0"/>
          <w:marTop w:val="240"/>
          <w:marBottom w:val="120"/>
          <w:divBdr>
            <w:top w:val="none" w:sz="0" w:space="0" w:color="auto"/>
            <w:left w:val="none" w:sz="0" w:space="0" w:color="auto"/>
            <w:bottom w:val="none" w:sz="0" w:space="0" w:color="auto"/>
            <w:right w:val="none" w:sz="0" w:space="0" w:color="auto"/>
          </w:divBdr>
        </w:div>
      </w:divsChild>
    </w:div>
    <w:div w:id="1647971038">
      <w:bodyDiv w:val="1"/>
      <w:marLeft w:val="0"/>
      <w:marRight w:val="0"/>
      <w:marTop w:val="0"/>
      <w:marBottom w:val="0"/>
      <w:divBdr>
        <w:top w:val="none" w:sz="0" w:space="0" w:color="auto"/>
        <w:left w:val="none" w:sz="0" w:space="0" w:color="auto"/>
        <w:bottom w:val="none" w:sz="0" w:space="0" w:color="auto"/>
        <w:right w:val="none" w:sz="0" w:space="0" w:color="auto"/>
      </w:divBdr>
      <w:divsChild>
        <w:div w:id="12073720">
          <w:marLeft w:val="0"/>
          <w:marRight w:val="0"/>
          <w:marTop w:val="0"/>
          <w:marBottom w:val="0"/>
          <w:divBdr>
            <w:top w:val="none" w:sz="0" w:space="0" w:color="auto"/>
            <w:left w:val="none" w:sz="0" w:space="0" w:color="auto"/>
            <w:bottom w:val="none" w:sz="0" w:space="0" w:color="auto"/>
            <w:right w:val="none" w:sz="0" w:space="0" w:color="auto"/>
          </w:divBdr>
        </w:div>
      </w:divsChild>
    </w:div>
    <w:div w:id="1909685639">
      <w:bodyDiv w:val="1"/>
      <w:marLeft w:val="0"/>
      <w:marRight w:val="0"/>
      <w:marTop w:val="0"/>
      <w:marBottom w:val="0"/>
      <w:divBdr>
        <w:top w:val="none" w:sz="0" w:space="0" w:color="auto"/>
        <w:left w:val="none" w:sz="0" w:space="0" w:color="auto"/>
        <w:bottom w:val="none" w:sz="0" w:space="0" w:color="auto"/>
        <w:right w:val="none" w:sz="0" w:space="0" w:color="auto"/>
      </w:divBdr>
    </w:div>
    <w:div w:id="1948005674">
      <w:bodyDiv w:val="1"/>
      <w:marLeft w:val="0"/>
      <w:marRight w:val="0"/>
      <w:marTop w:val="0"/>
      <w:marBottom w:val="0"/>
      <w:divBdr>
        <w:top w:val="none" w:sz="0" w:space="0" w:color="auto"/>
        <w:left w:val="none" w:sz="0" w:space="0" w:color="auto"/>
        <w:bottom w:val="none" w:sz="0" w:space="0" w:color="auto"/>
        <w:right w:val="none" w:sz="0" w:space="0" w:color="auto"/>
      </w:divBdr>
      <w:divsChild>
        <w:div w:id="1071124278">
          <w:marLeft w:val="720"/>
          <w:marRight w:val="0"/>
          <w:marTop w:val="0"/>
          <w:marBottom w:val="108"/>
          <w:divBdr>
            <w:top w:val="none" w:sz="0" w:space="0" w:color="auto"/>
            <w:left w:val="none" w:sz="0" w:space="0" w:color="auto"/>
            <w:bottom w:val="none" w:sz="0" w:space="0" w:color="auto"/>
            <w:right w:val="none" w:sz="0" w:space="0" w:color="auto"/>
          </w:divBdr>
        </w:div>
        <w:div w:id="1576629769">
          <w:marLeft w:val="720"/>
          <w:marRight w:val="0"/>
          <w:marTop w:val="0"/>
          <w:marBottom w:val="108"/>
          <w:divBdr>
            <w:top w:val="none" w:sz="0" w:space="0" w:color="auto"/>
            <w:left w:val="none" w:sz="0" w:space="0" w:color="auto"/>
            <w:bottom w:val="none" w:sz="0" w:space="0" w:color="auto"/>
            <w:right w:val="none" w:sz="0" w:space="0" w:color="auto"/>
          </w:divBdr>
        </w:div>
      </w:divsChild>
    </w:div>
    <w:div w:id="1954630975">
      <w:bodyDiv w:val="1"/>
      <w:marLeft w:val="0"/>
      <w:marRight w:val="0"/>
      <w:marTop w:val="0"/>
      <w:marBottom w:val="0"/>
      <w:divBdr>
        <w:top w:val="none" w:sz="0" w:space="0" w:color="auto"/>
        <w:left w:val="none" w:sz="0" w:space="0" w:color="auto"/>
        <w:bottom w:val="none" w:sz="0" w:space="0" w:color="auto"/>
        <w:right w:val="none" w:sz="0" w:space="0" w:color="auto"/>
      </w:divBdr>
      <w:divsChild>
        <w:div w:id="1882476913">
          <w:marLeft w:val="0"/>
          <w:marRight w:val="0"/>
          <w:marTop w:val="0"/>
          <w:marBottom w:val="0"/>
          <w:divBdr>
            <w:top w:val="none" w:sz="0" w:space="0" w:color="auto"/>
            <w:left w:val="none" w:sz="0" w:space="0" w:color="auto"/>
            <w:bottom w:val="none" w:sz="0" w:space="0" w:color="auto"/>
            <w:right w:val="none" w:sz="0" w:space="0" w:color="auto"/>
          </w:divBdr>
          <w:divsChild>
            <w:div w:id="198103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517096">
      <w:bodyDiv w:val="1"/>
      <w:marLeft w:val="0"/>
      <w:marRight w:val="0"/>
      <w:marTop w:val="0"/>
      <w:marBottom w:val="0"/>
      <w:divBdr>
        <w:top w:val="none" w:sz="0" w:space="0" w:color="auto"/>
        <w:left w:val="none" w:sz="0" w:space="0" w:color="auto"/>
        <w:bottom w:val="none" w:sz="0" w:space="0" w:color="auto"/>
        <w:right w:val="none" w:sz="0" w:space="0" w:color="auto"/>
      </w:divBdr>
      <w:divsChild>
        <w:div w:id="254477786">
          <w:marLeft w:val="150"/>
          <w:marRight w:val="150"/>
          <w:marTop w:val="225"/>
          <w:marBottom w:val="0"/>
          <w:divBdr>
            <w:top w:val="none" w:sz="0" w:space="0" w:color="auto"/>
            <w:left w:val="none" w:sz="0" w:space="0" w:color="auto"/>
            <w:bottom w:val="none" w:sz="0" w:space="0" w:color="auto"/>
            <w:right w:val="none" w:sz="0" w:space="0" w:color="auto"/>
          </w:divBdr>
          <w:divsChild>
            <w:div w:id="45293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2035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resources.sei.cmu.edu/library/" TargetMode="External"/><Relationship Id="rId26" Type="http://schemas.openxmlformats.org/officeDocument/2006/relationships/hyperlink" Target="http://www.sei.cmu.edu/reports/12tn005.pdf" TargetMode="External"/><Relationship Id="rId39" Type="http://schemas.openxmlformats.org/officeDocument/2006/relationships/image" Target="media/image9.png"/><Relationship Id="rId21" Type="http://schemas.openxmlformats.org/officeDocument/2006/relationships/hyperlink" Target="http://resources.sei.cmu.edu/library/asset-view.cfm?assetid=8831" TargetMode="External"/><Relationship Id="rId34" Type="http://schemas.openxmlformats.org/officeDocument/2006/relationships/image" Target="media/image5.png"/><Relationship Id="rId42" Type="http://schemas.openxmlformats.org/officeDocument/2006/relationships/image" Target="media/image12.png"/><Relationship Id="rId47" Type="http://schemas.openxmlformats.org/officeDocument/2006/relationships/hyperlink" Target="https://buildsecurityin.us-cert.gov/articles/knowledge/business-case-models" TargetMode="External"/><Relationship Id="rId50" Type="http://schemas.openxmlformats.org/officeDocument/2006/relationships/hyperlink" Target="http://bsimm.org" TargetMode="External"/><Relationship Id="rId55" Type="http://schemas.openxmlformats.org/officeDocument/2006/relationships/hyperlink" Target="https://www2.opengroup.org/ogsys/catalog/C139" TargetMode="External"/><Relationship Id="rId7" Type="http://schemas.microsoft.com/office/2007/relationships/stylesWithEffects" Target="stylesWithEffects.xml"/><Relationship Id="rId12" Type="http://schemas.openxmlformats.org/officeDocument/2006/relationships/hyperlink" Target="http://www.sei.cmu.edu" TargetMode="External"/><Relationship Id="rId17" Type="http://schemas.openxmlformats.org/officeDocument/2006/relationships/footer" Target="footer3.xml"/><Relationship Id="rId25" Type="http://schemas.openxmlformats.org/officeDocument/2006/relationships/image" Target="media/image4.png"/><Relationship Id="rId33" Type="http://schemas.openxmlformats.org/officeDocument/2006/relationships/hyperlink" Target="http://www.sei.cmu.edu/risk/" TargetMode="External"/><Relationship Id="rId38" Type="http://schemas.openxmlformats.org/officeDocument/2006/relationships/image" Target="media/image8.png"/><Relationship Id="rId46" Type="http://schemas.openxmlformats.org/officeDocument/2006/relationships/image" Target="media/image15.jpe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buildsecurityin.us-cert.gov/articles/knowledge/business-case-models" TargetMode="External"/><Relationship Id="rId29" Type="http://schemas.openxmlformats.org/officeDocument/2006/relationships/hyperlink" Target="http://www.sei.cmu.edu/reports/12tn004.pdf" TargetMode="External"/><Relationship Id="rId41" Type="http://schemas.openxmlformats.org/officeDocument/2006/relationships/image" Target="media/image11.png"/><Relationship Id="rId54" Type="http://schemas.openxmlformats.org/officeDocument/2006/relationships/hyperlink" Target="http://www.omg.org/CISQ_compliant_IT_Systemsv.4-3.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www.networkworld.com/news/tech/2010/041210-tech-update.html" TargetMode="External"/><Relationship Id="rId32" Type="http://schemas.openxmlformats.org/officeDocument/2006/relationships/hyperlink" Target="http://www.sei.cmu.edu/library/abstracts/reports/09tr007.cfm" TargetMode="External"/><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image" Target="media/image14.png"/><Relationship Id="rId53" Type="http://schemas.openxmlformats.org/officeDocument/2006/relationships/hyperlink" Target="http://resources.sei.cmu.edu/library/asset-view.cfm?AssetID=34069" TargetMode="External"/><Relationship Id="rId58" Type="http://schemas.openxmlformats.org/officeDocument/2006/relationships/footer" Target="footer5.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yperlink" Target="http://geer.tinho.net/measuringsecurity.tutorial.pdf" TargetMode="External"/><Relationship Id="rId28" Type="http://schemas.openxmlformats.org/officeDocument/2006/relationships/hyperlink" Target="http://www.sei.cmu.edu/reports/12tn005.pdf" TargetMode="External"/><Relationship Id="rId36" Type="http://schemas.openxmlformats.org/officeDocument/2006/relationships/image" Target="media/image6.png"/><Relationship Id="rId49" Type="http://schemas.openxmlformats.org/officeDocument/2006/relationships/hyperlink" Target="http://resources.sei.cmu.edu/asset_files/WhitePaper/2009_019_001_29066.pdf" TargetMode="External"/><Relationship Id="rId57" Type="http://schemas.openxmlformats.org/officeDocument/2006/relationships/footer" Target="footer4.xml"/><Relationship Id="rId10" Type="http://schemas.openxmlformats.org/officeDocument/2006/relationships/footnotes" Target="footnotes.xml"/><Relationship Id="rId19" Type="http://schemas.openxmlformats.org/officeDocument/2006/relationships/hyperlink" Target="http://www.opengroup.org/news/press/open-group-releases-dependability-through-assuredness-%E2%84%A2-standar" TargetMode="External"/><Relationship Id="rId31" Type="http://schemas.openxmlformats.org/officeDocument/2006/relationships/hyperlink" Target="http://www.sei.cmu.edu/reports/12tn004.pdf" TargetMode="External"/><Relationship Id="rId44" Type="http://schemas.openxmlformats.org/officeDocument/2006/relationships/hyperlink" Target="http://www.commoncriteriaportal.org/" TargetMode="External"/><Relationship Id="rId52" Type="http://schemas.openxmlformats.org/officeDocument/2006/relationships/hyperlink" Target="http://www.fda.gov/MedicalDevices/DeviceRegulationandGuidance/GuidanceDocuments/ucm206153.htm" TargetMode="Externa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http://msdn.microsoft.com/en-us/magazine/cc163519.aspx" TargetMode="External"/><Relationship Id="rId27" Type="http://schemas.openxmlformats.org/officeDocument/2006/relationships/hyperlink" Target="http://www.sei.cmu.edu/reports/12tn005.pdf" TargetMode="External"/><Relationship Id="rId30" Type="http://schemas.openxmlformats.org/officeDocument/2006/relationships/hyperlink" Target="http://www.sei.cmu.edu/reports/12tn004.pdf" TargetMode="External"/><Relationship Id="rId35" Type="http://schemas.openxmlformats.org/officeDocument/2006/relationships/comments" Target="comments.xml"/><Relationship Id="rId43" Type="http://schemas.openxmlformats.org/officeDocument/2006/relationships/image" Target="media/image13.png"/><Relationship Id="rId48" Type="http://schemas.openxmlformats.org/officeDocument/2006/relationships/hyperlink" Target="http://resources.sei.cmu.edu/library/asset-view.cfm?assetid=8831" TargetMode="External"/><Relationship Id="rId56" Type="http://schemas.openxmlformats.org/officeDocument/2006/relationships/header" Target="header3.xml"/><Relationship Id="rId8" Type="http://schemas.openxmlformats.org/officeDocument/2006/relationships/settings" Target="settings.xml"/><Relationship Id="rId51" Type="http://schemas.openxmlformats.org/officeDocument/2006/relationships/hyperlink" Target="http://it-cisq.org/wp-content/uploads/2012/09/CISQ-Specification-for-Automated-Quality-Characteristic-Measures.pdf"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wmiller\AppData\Roaming\Microsoft\Templates\SEI\Word\report-t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232B4FB10258540AE18A97230950FE7" ma:contentTypeVersion="1" ma:contentTypeDescription="Create a new document." ma:contentTypeScope="" ma:versionID="93d5c9943499d13ef82e12f4171cbf98">
  <xsd:schema xmlns:xsd="http://www.w3.org/2001/XMLSchema" xmlns:xs="http://www.w3.org/2001/XMLSchema" xmlns:p="http://schemas.microsoft.com/office/2006/metadata/properties" xmlns:ns2="893ae260-c728-403e-8c1d-be5e00391f89" targetNamespace="http://schemas.microsoft.com/office/2006/metadata/properties" ma:root="true" ma:fieldsID="b0cfc7bbb21cc0e5f6355df537488aee" ns2:_="">
    <xsd:import namespace="893ae260-c728-403e-8c1d-be5e00391f89"/>
    <xsd:element name="properties">
      <xsd:complexType>
        <xsd:sequence>
          <xsd:element name="documentManagement">
            <xsd:complexType>
              <xsd:all>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3ae260-c728-403e-8c1d-be5e00391f89" elementFormDefault="qualified">
    <xsd:import namespace="http://schemas.microsoft.com/office/2006/documentManagement/types"/>
    <xsd:import namespace="http://schemas.microsoft.com/office/infopath/2007/PartnerControls"/>
    <xsd:element name="Status" ma:index="8" nillable="true" ma:displayName="Status" ma:default="Draft" ma:internalName="Status">
      <xsd:simpleType>
        <xsd:restriction base="dms:Choice">
          <xsd:enumeration value="Draft"/>
          <xsd:enumeration value="In Review"/>
          <xsd:enumeration value="Final"/>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tatus xmlns="893ae260-c728-403e-8c1d-be5e00391f89">Draft</Statu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F867318B-23E4-4695-BBFB-4F2417926F1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3ae260-c728-403e-8c1d-be5e00391f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416BD2-7A8A-4434-973A-8620D4620AFF}">
  <ds:schemaRefs>
    <ds:schemaRef ds:uri="http://schemas.microsoft.com/office/2006/metadata/properties"/>
    <ds:schemaRef ds:uri="http://schemas.microsoft.com/office/infopath/2007/PartnerControls"/>
    <ds:schemaRef ds:uri="893ae260-c728-403e-8c1d-be5e00391f89"/>
  </ds:schemaRefs>
</ds:datastoreItem>
</file>

<file path=customXml/itemProps3.xml><?xml version="1.0" encoding="utf-8"?>
<ds:datastoreItem xmlns:ds="http://schemas.openxmlformats.org/officeDocument/2006/customXml" ds:itemID="{EFACD417-E2C9-4BCC-94E7-6A4EADF37234}">
  <ds:schemaRefs>
    <ds:schemaRef ds:uri="http://schemas.microsoft.com/sharepoint/v3/contenttype/forms"/>
  </ds:schemaRefs>
</ds:datastoreItem>
</file>

<file path=customXml/itemProps4.xml><?xml version="1.0" encoding="utf-8"?>
<ds:datastoreItem xmlns:ds="http://schemas.openxmlformats.org/officeDocument/2006/customXml" ds:itemID="{F77EAD29-0012-4287-9212-0FC75C703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report-tn.dotx</Template>
  <TotalTime>13</TotalTime>
  <Pages>38</Pages>
  <Words>9768</Words>
  <Characters>55678</Characters>
  <Application>Microsoft Office Word</Application>
  <DocSecurity>0</DocSecurity>
  <Lines>463</Lines>
  <Paragraphs>130</Paragraphs>
  <ScaleCrop>false</ScaleCrop>
  <HeadingPairs>
    <vt:vector size="2" baseType="variant">
      <vt:variant>
        <vt:lpstr>Title</vt:lpstr>
      </vt:variant>
      <vt:variant>
        <vt:i4>1</vt:i4>
      </vt:variant>
    </vt:vector>
  </HeadingPairs>
  <TitlesOfParts>
    <vt:vector size="1" baseType="lpstr">
      <vt:lpstr/>
    </vt:vector>
  </TitlesOfParts>
  <Company>Software Engineering Institute</Company>
  <LinksUpToDate>false</LinksUpToDate>
  <CharactersWithSpaces>65316</CharactersWithSpaces>
  <SharedDoc>false</SharedDoc>
  <HLinks>
    <vt:vector size="168" baseType="variant">
      <vt:variant>
        <vt:i4>5701646</vt:i4>
      </vt:variant>
      <vt:variant>
        <vt:i4>171</vt:i4>
      </vt:variant>
      <vt:variant>
        <vt:i4>0</vt:i4>
      </vt:variant>
      <vt:variant>
        <vt:i4>5</vt:i4>
      </vt:variant>
      <vt:variant>
        <vt:lpwstr>http://word.mvps.org/FAQs/General/InsertSpecChars.htm</vt:lpwstr>
      </vt:variant>
      <vt:variant>
        <vt:lpwstr/>
      </vt:variant>
      <vt:variant>
        <vt:i4>786551</vt:i4>
      </vt:variant>
      <vt:variant>
        <vt:i4>168</vt:i4>
      </vt:variant>
      <vt:variant>
        <vt:i4>0</vt:i4>
      </vt:variant>
      <vt:variant>
        <vt:i4>5</vt:i4>
      </vt:variant>
      <vt:variant>
        <vt:lpwstr>mailto:templates@sei.cmu.edu</vt:lpwstr>
      </vt:variant>
      <vt:variant>
        <vt:lpwstr/>
      </vt:variant>
      <vt:variant>
        <vt:i4>1572914</vt:i4>
      </vt:variant>
      <vt:variant>
        <vt:i4>158</vt:i4>
      </vt:variant>
      <vt:variant>
        <vt:i4>0</vt:i4>
      </vt:variant>
      <vt:variant>
        <vt:i4>5</vt:i4>
      </vt:variant>
      <vt:variant>
        <vt:lpwstr/>
      </vt:variant>
      <vt:variant>
        <vt:lpwstr>_Toc164051283</vt:lpwstr>
      </vt:variant>
      <vt:variant>
        <vt:i4>1572914</vt:i4>
      </vt:variant>
      <vt:variant>
        <vt:i4>152</vt:i4>
      </vt:variant>
      <vt:variant>
        <vt:i4>0</vt:i4>
      </vt:variant>
      <vt:variant>
        <vt:i4>5</vt:i4>
      </vt:variant>
      <vt:variant>
        <vt:lpwstr/>
      </vt:variant>
      <vt:variant>
        <vt:lpwstr>_Toc164051282</vt:lpwstr>
      </vt:variant>
      <vt:variant>
        <vt:i4>1572914</vt:i4>
      </vt:variant>
      <vt:variant>
        <vt:i4>146</vt:i4>
      </vt:variant>
      <vt:variant>
        <vt:i4>0</vt:i4>
      </vt:variant>
      <vt:variant>
        <vt:i4>5</vt:i4>
      </vt:variant>
      <vt:variant>
        <vt:lpwstr/>
      </vt:variant>
      <vt:variant>
        <vt:lpwstr>_Toc164051281</vt:lpwstr>
      </vt:variant>
      <vt:variant>
        <vt:i4>1572914</vt:i4>
      </vt:variant>
      <vt:variant>
        <vt:i4>140</vt:i4>
      </vt:variant>
      <vt:variant>
        <vt:i4>0</vt:i4>
      </vt:variant>
      <vt:variant>
        <vt:i4>5</vt:i4>
      </vt:variant>
      <vt:variant>
        <vt:lpwstr/>
      </vt:variant>
      <vt:variant>
        <vt:lpwstr>_Toc164051280</vt:lpwstr>
      </vt:variant>
      <vt:variant>
        <vt:i4>1507378</vt:i4>
      </vt:variant>
      <vt:variant>
        <vt:i4>134</vt:i4>
      </vt:variant>
      <vt:variant>
        <vt:i4>0</vt:i4>
      </vt:variant>
      <vt:variant>
        <vt:i4>5</vt:i4>
      </vt:variant>
      <vt:variant>
        <vt:lpwstr/>
      </vt:variant>
      <vt:variant>
        <vt:lpwstr>_Toc164051279</vt:lpwstr>
      </vt:variant>
      <vt:variant>
        <vt:i4>1441840</vt:i4>
      </vt:variant>
      <vt:variant>
        <vt:i4>125</vt:i4>
      </vt:variant>
      <vt:variant>
        <vt:i4>0</vt:i4>
      </vt:variant>
      <vt:variant>
        <vt:i4>5</vt:i4>
      </vt:variant>
      <vt:variant>
        <vt:lpwstr/>
      </vt:variant>
      <vt:variant>
        <vt:lpwstr>_Toc163354700</vt:lpwstr>
      </vt:variant>
      <vt:variant>
        <vt:i4>2031665</vt:i4>
      </vt:variant>
      <vt:variant>
        <vt:i4>116</vt:i4>
      </vt:variant>
      <vt:variant>
        <vt:i4>0</vt:i4>
      </vt:variant>
      <vt:variant>
        <vt:i4>5</vt:i4>
      </vt:variant>
      <vt:variant>
        <vt:lpwstr/>
      </vt:variant>
      <vt:variant>
        <vt:lpwstr>_Toc163354699</vt:lpwstr>
      </vt:variant>
      <vt:variant>
        <vt:i4>2031665</vt:i4>
      </vt:variant>
      <vt:variant>
        <vt:i4>110</vt:i4>
      </vt:variant>
      <vt:variant>
        <vt:i4>0</vt:i4>
      </vt:variant>
      <vt:variant>
        <vt:i4>5</vt:i4>
      </vt:variant>
      <vt:variant>
        <vt:lpwstr/>
      </vt:variant>
      <vt:variant>
        <vt:lpwstr>_Toc163354698</vt:lpwstr>
      </vt:variant>
      <vt:variant>
        <vt:i4>2031665</vt:i4>
      </vt:variant>
      <vt:variant>
        <vt:i4>104</vt:i4>
      </vt:variant>
      <vt:variant>
        <vt:i4>0</vt:i4>
      </vt:variant>
      <vt:variant>
        <vt:i4>5</vt:i4>
      </vt:variant>
      <vt:variant>
        <vt:lpwstr/>
      </vt:variant>
      <vt:variant>
        <vt:lpwstr>_Toc163354697</vt:lpwstr>
      </vt:variant>
      <vt:variant>
        <vt:i4>2031665</vt:i4>
      </vt:variant>
      <vt:variant>
        <vt:i4>98</vt:i4>
      </vt:variant>
      <vt:variant>
        <vt:i4>0</vt:i4>
      </vt:variant>
      <vt:variant>
        <vt:i4>5</vt:i4>
      </vt:variant>
      <vt:variant>
        <vt:lpwstr/>
      </vt:variant>
      <vt:variant>
        <vt:lpwstr>_Toc163354696</vt:lpwstr>
      </vt:variant>
      <vt:variant>
        <vt:i4>2031665</vt:i4>
      </vt:variant>
      <vt:variant>
        <vt:i4>92</vt:i4>
      </vt:variant>
      <vt:variant>
        <vt:i4>0</vt:i4>
      </vt:variant>
      <vt:variant>
        <vt:i4>5</vt:i4>
      </vt:variant>
      <vt:variant>
        <vt:lpwstr/>
      </vt:variant>
      <vt:variant>
        <vt:lpwstr>_Toc163354695</vt:lpwstr>
      </vt:variant>
      <vt:variant>
        <vt:i4>2031665</vt:i4>
      </vt:variant>
      <vt:variant>
        <vt:i4>86</vt:i4>
      </vt:variant>
      <vt:variant>
        <vt:i4>0</vt:i4>
      </vt:variant>
      <vt:variant>
        <vt:i4>5</vt:i4>
      </vt:variant>
      <vt:variant>
        <vt:lpwstr/>
      </vt:variant>
      <vt:variant>
        <vt:lpwstr>_Toc163354694</vt:lpwstr>
      </vt:variant>
      <vt:variant>
        <vt:i4>2031665</vt:i4>
      </vt:variant>
      <vt:variant>
        <vt:i4>80</vt:i4>
      </vt:variant>
      <vt:variant>
        <vt:i4>0</vt:i4>
      </vt:variant>
      <vt:variant>
        <vt:i4>5</vt:i4>
      </vt:variant>
      <vt:variant>
        <vt:lpwstr/>
      </vt:variant>
      <vt:variant>
        <vt:lpwstr>_Toc163354693</vt:lpwstr>
      </vt:variant>
      <vt:variant>
        <vt:i4>2031665</vt:i4>
      </vt:variant>
      <vt:variant>
        <vt:i4>74</vt:i4>
      </vt:variant>
      <vt:variant>
        <vt:i4>0</vt:i4>
      </vt:variant>
      <vt:variant>
        <vt:i4>5</vt:i4>
      </vt:variant>
      <vt:variant>
        <vt:lpwstr/>
      </vt:variant>
      <vt:variant>
        <vt:lpwstr>_Toc163354692</vt:lpwstr>
      </vt:variant>
      <vt:variant>
        <vt:i4>2031665</vt:i4>
      </vt:variant>
      <vt:variant>
        <vt:i4>68</vt:i4>
      </vt:variant>
      <vt:variant>
        <vt:i4>0</vt:i4>
      </vt:variant>
      <vt:variant>
        <vt:i4>5</vt:i4>
      </vt:variant>
      <vt:variant>
        <vt:lpwstr/>
      </vt:variant>
      <vt:variant>
        <vt:lpwstr>_Toc163354691</vt:lpwstr>
      </vt:variant>
      <vt:variant>
        <vt:i4>2031665</vt:i4>
      </vt:variant>
      <vt:variant>
        <vt:i4>62</vt:i4>
      </vt:variant>
      <vt:variant>
        <vt:i4>0</vt:i4>
      </vt:variant>
      <vt:variant>
        <vt:i4>5</vt:i4>
      </vt:variant>
      <vt:variant>
        <vt:lpwstr/>
      </vt:variant>
      <vt:variant>
        <vt:lpwstr>_Toc163354690</vt:lpwstr>
      </vt:variant>
      <vt:variant>
        <vt:i4>1966129</vt:i4>
      </vt:variant>
      <vt:variant>
        <vt:i4>56</vt:i4>
      </vt:variant>
      <vt:variant>
        <vt:i4>0</vt:i4>
      </vt:variant>
      <vt:variant>
        <vt:i4>5</vt:i4>
      </vt:variant>
      <vt:variant>
        <vt:lpwstr/>
      </vt:variant>
      <vt:variant>
        <vt:lpwstr>_Toc163354689</vt:lpwstr>
      </vt:variant>
      <vt:variant>
        <vt:i4>1966129</vt:i4>
      </vt:variant>
      <vt:variant>
        <vt:i4>50</vt:i4>
      </vt:variant>
      <vt:variant>
        <vt:i4>0</vt:i4>
      </vt:variant>
      <vt:variant>
        <vt:i4>5</vt:i4>
      </vt:variant>
      <vt:variant>
        <vt:lpwstr/>
      </vt:variant>
      <vt:variant>
        <vt:lpwstr>_Toc163354688</vt:lpwstr>
      </vt:variant>
      <vt:variant>
        <vt:i4>1966129</vt:i4>
      </vt:variant>
      <vt:variant>
        <vt:i4>44</vt:i4>
      </vt:variant>
      <vt:variant>
        <vt:i4>0</vt:i4>
      </vt:variant>
      <vt:variant>
        <vt:i4>5</vt:i4>
      </vt:variant>
      <vt:variant>
        <vt:lpwstr/>
      </vt:variant>
      <vt:variant>
        <vt:lpwstr>_Toc163354687</vt:lpwstr>
      </vt:variant>
      <vt:variant>
        <vt:i4>1966129</vt:i4>
      </vt:variant>
      <vt:variant>
        <vt:i4>38</vt:i4>
      </vt:variant>
      <vt:variant>
        <vt:i4>0</vt:i4>
      </vt:variant>
      <vt:variant>
        <vt:i4>5</vt:i4>
      </vt:variant>
      <vt:variant>
        <vt:lpwstr/>
      </vt:variant>
      <vt:variant>
        <vt:lpwstr>_Toc163354686</vt:lpwstr>
      </vt:variant>
      <vt:variant>
        <vt:i4>1966129</vt:i4>
      </vt:variant>
      <vt:variant>
        <vt:i4>32</vt:i4>
      </vt:variant>
      <vt:variant>
        <vt:i4>0</vt:i4>
      </vt:variant>
      <vt:variant>
        <vt:i4>5</vt:i4>
      </vt:variant>
      <vt:variant>
        <vt:lpwstr/>
      </vt:variant>
      <vt:variant>
        <vt:lpwstr>_Toc163354685</vt:lpwstr>
      </vt:variant>
      <vt:variant>
        <vt:i4>1966129</vt:i4>
      </vt:variant>
      <vt:variant>
        <vt:i4>26</vt:i4>
      </vt:variant>
      <vt:variant>
        <vt:i4>0</vt:i4>
      </vt:variant>
      <vt:variant>
        <vt:i4>5</vt:i4>
      </vt:variant>
      <vt:variant>
        <vt:lpwstr/>
      </vt:variant>
      <vt:variant>
        <vt:lpwstr>_Toc163354684</vt:lpwstr>
      </vt:variant>
      <vt:variant>
        <vt:i4>1966129</vt:i4>
      </vt:variant>
      <vt:variant>
        <vt:i4>20</vt:i4>
      </vt:variant>
      <vt:variant>
        <vt:i4>0</vt:i4>
      </vt:variant>
      <vt:variant>
        <vt:i4>5</vt:i4>
      </vt:variant>
      <vt:variant>
        <vt:lpwstr/>
      </vt:variant>
      <vt:variant>
        <vt:lpwstr>_Toc163354683</vt:lpwstr>
      </vt:variant>
      <vt:variant>
        <vt:i4>1966129</vt:i4>
      </vt:variant>
      <vt:variant>
        <vt:i4>14</vt:i4>
      </vt:variant>
      <vt:variant>
        <vt:i4>0</vt:i4>
      </vt:variant>
      <vt:variant>
        <vt:i4>5</vt:i4>
      </vt:variant>
      <vt:variant>
        <vt:lpwstr/>
      </vt:variant>
      <vt:variant>
        <vt:lpwstr>_Toc163354682</vt:lpwstr>
      </vt:variant>
      <vt:variant>
        <vt:i4>1966129</vt:i4>
      </vt:variant>
      <vt:variant>
        <vt:i4>8</vt:i4>
      </vt:variant>
      <vt:variant>
        <vt:i4>0</vt:i4>
      </vt:variant>
      <vt:variant>
        <vt:i4>5</vt:i4>
      </vt:variant>
      <vt:variant>
        <vt:lpwstr/>
      </vt:variant>
      <vt:variant>
        <vt:lpwstr>_Toc163354681</vt:lpwstr>
      </vt:variant>
      <vt:variant>
        <vt:i4>1966129</vt:i4>
      </vt:variant>
      <vt:variant>
        <vt:i4>2</vt:i4>
      </vt:variant>
      <vt:variant>
        <vt:i4>0</vt:i4>
      </vt:variant>
      <vt:variant>
        <vt:i4>5</vt:i4>
      </vt:variant>
      <vt:variant>
        <vt:lpwstr/>
      </vt:variant>
      <vt:variant>
        <vt:lpwstr>_Toc163354680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Gerald Miller</dc:creator>
  <cp:lastModifiedBy>Sandy Shrum</cp:lastModifiedBy>
  <cp:revision>3</cp:revision>
  <cp:lastPrinted>2014-03-28T18:54:00Z</cp:lastPrinted>
  <dcterms:created xsi:type="dcterms:W3CDTF">2014-05-21T17:39:00Z</dcterms:created>
  <dcterms:modified xsi:type="dcterms:W3CDTF">2014-05-21T17:52:00Z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0x0101004232B4FB10258540AE18A97230950FE7</vt:lpwstr>
  </property>
</Properties>
</file>